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03A" w:rsidRPr="00232313" w:rsidRDefault="008F303A" w:rsidP="008F303A">
      <w:pPr>
        <w:spacing w:after="360" w:line="364" w:lineRule="atLeast"/>
        <w:ind w:firstLine="0"/>
        <w:jc w:val="center"/>
        <w:rPr>
          <w:rFonts w:eastAsia="Times New Roman" w:cs="Times New Roman"/>
          <w:b/>
          <w:szCs w:val="24"/>
        </w:rPr>
      </w:pPr>
      <w:r w:rsidRPr="00232313">
        <w:rPr>
          <w:rFonts w:eastAsia="Times New Roman" w:cs="Times New Roman"/>
          <w:b/>
          <w:szCs w:val="24"/>
        </w:rPr>
        <w:t>CYBERSECURITY IN BANKING</w:t>
      </w:r>
    </w:p>
    <w:p w:rsidR="002574AB" w:rsidRPr="00232313" w:rsidRDefault="00BE7CB5" w:rsidP="000944DF">
      <w:pPr>
        <w:spacing w:after="360" w:line="240" w:lineRule="auto"/>
        <w:ind w:firstLine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E</w:t>
      </w:r>
      <w:r w:rsidR="00AC1A1D" w:rsidRPr="00232313">
        <w:rPr>
          <w:rFonts w:eastAsia="Times New Roman" w:cs="Times New Roman"/>
          <w:szCs w:val="24"/>
        </w:rPr>
        <w:t xml:space="preserve">ver increasing use of online and mobile </w:t>
      </w:r>
      <w:r w:rsidR="00EE4ABB" w:rsidRPr="00232313">
        <w:rPr>
          <w:rFonts w:eastAsia="Times New Roman" w:cs="Times New Roman"/>
          <w:szCs w:val="24"/>
        </w:rPr>
        <w:t xml:space="preserve">banking </w:t>
      </w:r>
      <w:r w:rsidR="002574AB" w:rsidRPr="00232313">
        <w:rPr>
          <w:rFonts w:eastAsia="Times New Roman" w:cs="Times New Roman"/>
          <w:szCs w:val="24"/>
        </w:rPr>
        <w:t>services</w:t>
      </w:r>
      <w:r w:rsidR="00EE4ABB" w:rsidRPr="00232313">
        <w:rPr>
          <w:rFonts w:eastAsia="Times New Roman" w:cs="Times New Roman"/>
          <w:szCs w:val="24"/>
        </w:rPr>
        <w:t xml:space="preserve"> requires </w:t>
      </w:r>
      <w:r w:rsidR="00447C9E" w:rsidRPr="00232313">
        <w:rPr>
          <w:rFonts w:eastAsia="Times New Roman" w:cs="Times New Roman"/>
          <w:szCs w:val="24"/>
        </w:rPr>
        <w:t>bank</w:t>
      </w:r>
      <w:r w:rsidR="00AC1A1D" w:rsidRPr="00232313">
        <w:rPr>
          <w:rFonts w:eastAsia="Times New Roman" w:cs="Times New Roman"/>
          <w:szCs w:val="24"/>
        </w:rPr>
        <w:t>s</w:t>
      </w:r>
      <w:r w:rsidR="00447C9E" w:rsidRPr="00232313">
        <w:rPr>
          <w:rFonts w:eastAsia="Times New Roman" w:cs="Times New Roman"/>
          <w:szCs w:val="24"/>
        </w:rPr>
        <w:t xml:space="preserve"> </w:t>
      </w:r>
      <w:r w:rsidR="009610C4">
        <w:rPr>
          <w:rFonts w:eastAsia="Times New Roman" w:cs="Times New Roman"/>
          <w:szCs w:val="24"/>
        </w:rPr>
        <w:t xml:space="preserve">to </w:t>
      </w:r>
      <w:r w:rsidR="00447C9E" w:rsidRPr="00232313">
        <w:rPr>
          <w:rFonts w:eastAsia="Times New Roman" w:cs="Times New Roman"/>
          <w:szCs w:val="24"/>
        </w:rPr>
        <w:t>remain vigilant</w:t>
      </w:r>
      <w:r w:rsidR="00C30DA7" w:rsidRPr="00232313">
        <w:rPr>
          <w:rFonts w:eastAsia="Times New Roman" w:cs="Times New Roman"/>
          <w:szCs w:val="24"/>
        </w:rPr>
        <w:t xml:space="preserve"> </w:t>
      </w:r>
      <w:r w:rsidR="009610C4">
        <w:rPr>
          <w:rFonts w:eastAsia="Times New Roman" w:cs="Times New Roman"/>
          <w:szCs w:val="24"/>
        </w:rPr>
        <w:t xml:space="preserve">against </w:t>
      </w:r>
      <w:r w:rsidR="00C30DA7" w:rsidRPr="00232313">
        <w:rPr>
          <w:rFonts w:eastAsia="Times New Roman" w:cs="Times New Roman"/>
          <w:szCs w:val="24"/>
        </w:rPr>
        <w:t>the threat of cyberattacks</w:t>
      </w:r>
      <w:r w:rsidR="00447C9E" w:rsidRPr="00232313">
        <w:rPr>
          <w:rFonts w:eastAsia="Times New Roman" w:cs="Times New Roman"/>
          <w:szCs w:val="24"/>
        </w:rPr>
        <w:t xml:space="preserve">.  Vigilance requires </w:t>
      </w:r>
      <w:r w:rsidR="00AC1A1D" w:rsidRPr="00232313">
        <w:rPr>
          <w:rFonts w:eastAsia="Times New Roman" w:cs="Times New Roman"/>
          <w:szCs w:val="24"/>
        </w:rPr>
        <w:t xml:space="preserve">not only </w:t>
      </w:r>
      <w:r w:rsidR="00C30DA7" w:rsidRPr="00232313">
        <w:rPr>
          <w:rFonts w:eastAsia="Times New Roman" w:cs="Times New Roman"/>
          <w:szCs w:val="24"/>
        </w:rPr>
        <w:t>understanding</w:t>
      </w:r>
      <w:r w:rsidR="00AC1A1D" w:rsidRPr="00232313">
        <w:rPr>
          <w:rFonts w:eastAsia="Times New Roman" w:cs="Times New Roman"/>
          <w:szCs w:val="24"/>
        </w:rPr>
        <w:t xml:space="preserve"> the threat in its current form, but also </w:t>
      </w:r>
      <w:r w:rsidR="002574AB" w:rsidRPr="00232313">
        <w:rPr>
          <w:rFonts w:eastAsia="Times New Roman" w:cs="Times New Roman"/>
          <w:szCs w:val="24"/>
        </w:rPr>
        <w:t>appreciating</w:t>
      </w:r>
      <w:r w:rsidR="00AC1A1D" w:rsidRPr="00232313">
        <w:rPr>
          <w:rFonts w:eastAsia="Times New Roman" w:cs="Times New Roman"/>
          <w:szCs w:val="24"/>
        </w:rPr>
        <w:t xml:space="preserve"> the evolving nature</w:t>
      </w:r>
      <w:r w:rsidR="00C30DA7" w:rsidRPr="00232313">
        <w:rPr>
          <w:rFonts w:eastAsia="Times New Roman" w:cs="Times New Roman"/>
          <w:szCs w:val="24"/>
        </w:rPr>
        <w:t xml:space="preserve"> </w:t>
      </w:r>
      <w:r w:rsidR="008D6510" w:rsidRPr="00232313">
        <w:rPr>
          <w:rFonts w:eastAsia="Times New Roman" w:cs="Times New Roman"/>
          <w:szCs w:val="24"/>
        </w:rPr>
        <w:t xml:space="preserve">of the threat </w:t>
      </w:r>
      <w:r w:rsidR="00C30DA7" w:rsidRPr="00232313">
        <w:rPr>
          <w:rFonts w:eastAsia="Times New Roman" w:cs="Times New Roman"/>
          <w:szCs w:val="24"/>
        </w:rPr>
        <w:t xml:space="preserve">and the </w:t>
      </w:r>
      <w:r w:rsidR="00124A89" w:rsidRPr="00232313">
        <w:rPr>
          <w:rFonts w:eastAsia="Times New Roman" w:cs="Times New Roman"/>
          <w:szCs w:val="24"/>
        </w:rPr>
        <w:t xml:space="preserve">constant need to test and update </w:t>
      </w:r>
      <w:r w:rsidR="00C30DA7" w:rsidRPr="00232313">
        <w:rPr>
          <w:rFonts w:eastAsia="Times New Roman" w:cs="Times New Roman"/>
          <w:szCs w:val="24"/>
        </w:rPr>
        <w:t>procedures and safeguard</w:t>
      </w:r>
      <w:r w:rsidR="002574AB" w:rsidRPr="00232313">
        <w:rPr>
          <w:rFonts w:eastAsia="Times New Roman" w:cs="Times New Roman"/>
          <w:szCs w:val="24"/>
        </w:rPr>
        <w:t>s.</w:t>
      </w:r>
    </w:p>
    <w:p w:rsidR="009610C4" w:rsidRDefault="003C12CD" w:rsidP="000944DF">
      <w:pPr>
        <w:spacing w:after="360" w:line="240" w:lineRule="auto"/>
        <w:ind w:firstLine="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t xml:space="preserve">There are several </w:t>
      </w:r>
      <w:r w:rsidR="003B35BE" w:rsidRPr="00232313">
        <w:rPr>
          <w:rFonts w:eastAsia="Times New Roman" w:cs="Times New Roman"/>
          <w:szCs w:val="24"/>
        </w:rPr>
        <w:t>cyber</w:t>
      </w:r>
      <w:r w:rsidRPr="00232313">
        <w:rPr>
          <w:rFonts w:eastAsia="Times New Roman" w:cs="Times New Roman"/>
          <w:szCs w:val="24"/>
        </w:rPr>
        <w:t>security resources available to banks</w:t>
      </w:r>
      <w:r w:rsidR="003B35BE" w:rsidRPr="00232313">
        <w:rPr>
          <w:rFonts w:eastAsia="Times New Roman" w:cs="Times New Roman"/>
          <w:szCs w:val="24"/>
        </w:rPr>
        <w:t>.  For example,</w:t>
      </w:r>
      <w:r w:rsidRPr="00232313">
        <w:rPr>
          <w:rFonts w:eastAsia="Times New Roman" w:cs="Times New Roman"/>
          <w:szCs w:val="24"/>
        </w:rPr>
        <w:t xml:space="preserve"> the Federal Financial Institutions Examination Council on E-Banking </w:t>
      </w:r>
      <w:r w:rsidR="003B35BE" w:rsidRPr="00232313">
        <w:rPr>
          <w:rFonts w:eastAsia="Times New Roman" w:cs="Times New Roman"/>
          <w:szCs w:val="24"/>
        </w:rPr>
        <w:t xml:space="preserve">has published </w:t>
      </w:r>
      <w:r w:rsidR="00124A89" w:rsidRPr="00232313">
        <w:rPr>
          <w:rFonts w:eastAsia="Times New Roman" w:cs="Times New Roman"/>
          <w:szCs w:val="24"/>
        </w:rPr>
        <w:t xml:space="preserve">extensive </w:t>
      </w:r>
      <w:r w:rsidR="003B35BE" w:rsidRPr="00232313">
        <w:rPr>
          <w:rFonts w:eastAsia="Times New Roman" w:cs="Times New Roman"/>
          <w:szCs w:val="24"/>
        </w:rPr>
        <w:t xml:space="preserve">recommendations </w:t>
      </w:r>
      <w:r w:rsidR="00124A89" w:rsidRPr="00232313">
        <w:rPr>
          <w:rFonts w:eastAsia="Times New Roman" w:cs="Times New Roman"/>
          <w:szCs w:val="24"/>
        </w:rPr>
        <w:t xml:space="preserve">regarding </w:t>
      </w:r>
      <w:r w:rsidRPr="00232313">
        <w:rPr>
          <w:rFonts w:eastAsia="Times New Roman" w:cs="Times New Roman"/>
          <w:szCs w:val="24"/>
        </w:rPr>
        <w:t>security procedures and other loss prevention measures</w:t>
      </w:r>
      <w:r w:rsidR="003B35BE" w:rsidRPr="00232313">
        <w:rPr>
          <w:rFonts w:eastAsia="Times New Roman" w:cs="Times New Roman"/>
          <w:szCs w:val="24"/>
        </w:rPr>
        <w:t>.</w:t>
      </w:r>
      <w:r w:rsidR="00232313" w:rsidRPr="00232313">
        <w:rPr>
          <w:rStyle w:val="EndnoteReference"/>
          <w:rFonts w:eastAsia="Times New Roman" w:cs="Times New Roman"/>
          <w:szCs w:val="24"/>
        </w:rPr>
        <w:endnoteReference w:id="1"/>
      </w:r>
      <w:r w:rsidR="00B260C8">
        <w:rPr>
          <w:rFonts w:eastAsia="Times New Roman" w:cs="Times New Roman"/>
          <w:szCs w:val="24"/>
        </w:rPr>
        <w:t xml:space="preserve">  The FFIEC</w:t>
      </w:r>
      <w:r w:rsidR="00986C39">
        <w:rPr>
          <w:rFonts w:eastAsia="Times New Roman" w:cs="Times New Roman"/>
          <w:szCs w:val="24"/>
        </w:rPr>
        <w:t xml:space="preserve"> materials describe e-b</w:t>
      </w:r>
      <w:r w:rsidR="00B260C8">
        <w:rPr>
          <w:rFonts w:eastAsia="Times New Roman" w:cs="Times New Roman"/>
          <w:szCs w:val="24"/>
        </w:rPr>
        <w:t>anking risks in the areas of transaction/operations risks, compliance/legal risks, str</w:t>
      </w:r>
      <w:r w:rsidR="00BE7CB5">
        <w:rPr>
          <w:rFonts w:eastAsia="Times New Roman" w:cs="Times New Roman"/>
          <w:szCs w:val="24"/>
        </w:rPr>
        <w:t xml:space="preserve">ategic risk and reputation risk, as well as </w:t>
      </w:r>
      <w:r w:rsidR="00986C39">
        <w:rPr>
          <w:rFonts w:eastAsia="Times New Roman" w:cs="Times New Roman"/>
          <w:szCs w:val="24"/>
        </w:rPr>
        <w:t xml:space="preserve">useful e-banking risk management activities, including board and management oversight, managing </w:t>
      </w:r>
      <w:r w:rsidR="00A10436">
        <w:rPr>
          <w:rFonts w:eastAsia="Times New Roman" w:cs="Times New Roman"/>
          <w:szCs w:val="24"/>
        </w:rPr>
        <w:t>outsourcing</w:t>
      </w:r>
      <w:r w:rsidR="00986C39">
        <w:rPr>
          <w:rFonts w:eastAsia="Times New Roman" w:cs="Times New Roman"/>
          <w:szCs w:val="24"/>
        </w:rPr>
        <w:t xml:space="preserve"> relationships, information security programs and administrative controls.</w:t>
      </w:r>
      <w:r w:rsidR="00BE7CB5">
        <w:rPr>
          <w:rFonts w:eastAsia="Times New Roman" w:cs="Times New Roman"/>
          <w:szCs w:val="24"/>
        </w:rPr>
        <w:t xml:space="preserve"> They also provide a lengthy reference list of laws, regulations and guidance applicable to bank cybersecurity issues.  </w:t>
      </w:r>
      <w:r w:rsidR="00986C39">
        <w:rPr>
          <w:rFonts w:eastAsia="Times New Roman" w:cs="Times New Roman"/>
          <w:szCs w:val="24"/>
        </w:rPr>
        <w:t xml:space="preserve">        </w:t>
      </w:r>
      <w:r w:rsidR="00B260C8">
        <w:rPr>
          <w:rFonts w:eastAsia="Times New Roman" w:cs="Times New Roman"/>
          <w:szCs w:val="24"/>
        </w:rPr>
        <w:t xml:space="preserve"> </w:t>
      </w:r>
    </w:p>
    <w:p w:rsidR="008D6510" w:rsidRPr="00232313" w:rsidRDefault="00986C39" w:rsidP="000944DF">
      <w:pPr>
        <w:spacing w:after="360" w:line="240" w:lineRule="auto"/>
        <w:ind w:firstLine="0"/>
        <w:jc w:val="left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</w:t>
      </w:r>
      <w:r w:rsidR="00232313" w:rsidRPr="00232313">
        <w:rPr>
          <w:rFonts w:eastAsia="Times New Roman" w:cs="Times New Roman"/>
          <w:szCs w:val="24"/>
        </w:rPr>
        <w:t xml:space="preserve">he Conference of State Bank Supervisors has its own </w:t>
      </w:r>
      <w:r w:rsidR="00232313" w:rsidRPr="001E0E40">
        <w:rPr>
          <w:rFonts w:eastAsia="Times New Roman" w:cs="Times New Roman"/>
          <w:i/>
          <w:szCs w:val="24"/>
        </w:rPr>
        <w:t>Resource Guide for Bank Executives</w:t>
      </w:r>
      <w:r w:rsidR="00232313" w:rsidRPr="00232313">
        <w:rPr>
          <w:rStyle w:val="EndnoteReference"/>
          <w:rFonts w:eastAsia="Times New Roman" w:cs="Times New Roman"/>
          <w:szCs w:val="24"/>
        </w:rPr>
        <w:endnoteReference w:id="2"/>
      </w:r>
      <w:r w:rsidR="00232313" w:rsidRPr="00232313">
        <w:rPr>
          <w:rFonts w:eastAsia="Times New Roman" w:cs="Times New Roman"/>
          <w:szCs w:val="24"/>
        </w:rPr>
        <w:t xml:space="preserve"> </w:t>
      </w:r>
      <w:r w:rsidR="00124A89" w:rsidRPr="00232313">
        <w:rPr>
          <w:rFonts w:eastAsia="Times New Roman" w:cs="Times New Roman"/>
          <w:szCs w:val="24"/>
        </w:rPr>
        <w:t xml:space="preserve"> that </w:t>
      </w:r>
      <w:r w:rsidR="00EE4ABB" w:rsidRPr="00232313">
        <w:rPr>
          <w:rFonts w:eastAsia="Times New Roman" w:cs="Times New Roman"/>
          <w:szCs w:val="24"/>
        </w:rPr>
        <w:t xml:space="preserve">describes four common </w:t>
      </w:r>
      <w:r w:rsidR="00BB0742" w:rsidRPr="00232313">
        <w:rPr>
          <w:rFonts w:eastAsia="Times New Roman" w:cs="Times New Roman"/>
          <w:szCs w:val="24"/>
        </w:rPr>
        <w:t xml:space="preserve">categories of </w:t>
      </w:r>
      <w:r w:rsidR="00EE4ABB" w:rsidRPr="00232313">
        <w:rPr>
          <w:rFonts w:eastAsia="Times New Roman" w:cs="Times New Roman"/>
          <w:szCs w:val="24"/>
        </w:rPr>
        <w:t>cyber</w:t>
      </w:r>
      <w:bookmarkStart w:id="0" w:name="_GoBack"/>
      <w:bookmarkEnd w:id="0"/>
      <w:r w:rsidR="00EE4ABB" w:rsidRPr="00232313">
        <w:rPr>
          <w:rFonts w:eastAsia="Times New Roman" w:cs="Times New Roman"/>
          <w:szCs w:val="24"/>
        </w:rPr>
        <w:t xml:space="preserve">attacks against banks: </w:t>
      </w:r>
    </w:p>
    <w:p w:rsidR="000944DF" w:rsidRPr="00232313" w:rsidRDefault="00EE4ABB" w:rsidP="00986C39">
      <w:pPr>
        <w:numPr>
          <w:ilvl w:val="0"/>
          <w:numId w:val="4"/>
        </w:numPr>
        <w:spacing w:after="360" w:line="240" w:lineRule="auto"/>
        <w:ind w:left="72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t>Distributed D</w:t>
      </w:r>
      <w:r w:rsidR="000944DF" w:rsidRPr="00232313">
        <w:rPr>
          <w:rFonts w:eastAsia="Times New Roman" w:cs="Times New Roman"/>
          <w:szCs w:val="24"/>
        </w:rPr>
        <w:t xml:space="preserve">enial of Service </w:t>
      </w:r>
      <w:r w:rsidRPr="00232313">
        <w:rPr>
          <w:rFonts w:eastAsia="Times New Roman" w:cs="Times New Roman"/>
          <w:szCs w:val="24"/>
        </w:rPr>
        <w:t>–</w:t>
      </w:r>
      <w:r w:rsidR="00BB0742" w:rsidRPr="00232313">
        <w:rPr>
          <w:rFonts w:eastAsia="Times New Roman" w:cs="Times New Roman"/>
          <w:szCs w:val="24"/>
        </w:rPr>
        <w:t xml:space="preserve"> </w:t>
      </w:r>
      <w:r w:rsidR="000944DF" w:rsidRPr="00232313">
        <w:rPr>
          <w:rFonts w:eastAsia="Times New Roman" w:cs="Times New Roman"/>
          <w:szCs w:val="24"/>
        </w:rPr>
        <w:t>attackers overwhelm</w:t>
      </w:r>
      <w:r w:rsidRPr="00232313">
        <w:rPr>
          <w:rFonts w:eastAsia="Times New Roman" w:cs="Times New Roman"/>
          <w:szCs w:val="24"/>
        </w:rPr>
        <w:t xml:space="preserve"> a </w:t>
      </w:r>
      <w:r w:rsidR="000944DF" w:rsidRPr="00232313">
        <w:rPr>
          <w:rFonts w:eastAsia="Times New Roman" w:cs="Times New Roman"/>
          <w:szCs w:val="24"/>
        </w:rPr>
        <w:t xml:space="preserve">banks’ </w:t>
      </w:r>
      <w:r w:rsidRPr="00232313">
        <w:rPr>
          <w:rFonts w:eastAsia="Times New Roman" w:cs="Times New Roman"/>
          <w:szCs w:val="24"/>
        </w:rPr>
        <w:t xml:space="preserve">website with traffic </w:t>
      </w:r>
      <w:r w:rsidR="000944DF" w:rsidRPr="00232313">
        <w:rPr>
          <w:rFonts w:eastAsia="Times New Roman" w:cs="Times New Roman"/>
          <w:szCs w:val="24"/>
        </w:rPr>
        <w:t xml:space="preserve">in order to disrupt online service, causing reputational harm and potentially distracting the bank from some other fraud. </w:t>
      </w:r>
    </w:p>
    <w:p w:rsidR="00EE4ABB" w:rsidRPr="00232313" w:rsidRDefault="003C12CD" w:rsidP="00986C39">
      <w:pPr>
        <w:numPr>
          <w:ilvl w:val="0"/>
          <w:numId w:val="4"/>
        </w:numPr>
        <w:spacing w:after="360" w:line="240" w:lineRule="auto"/>
        <w:ind w:left="72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t>Corporate Account Takeo</w:t>
      </w:r>
      <w:r w:rsidR="000944DF" w:rsidRPr="00232313">
        <w:rPr>
          <w:rFonts w:eastAsia="Times New Roman" w:cs="Times New Roman"/>
          <w:szCs w:val="24"/>
        </w:rPr>
        <w:t>ver –</w:t>
      </w:r>
      <w:r w:rsidR="00781AFE" w:rsidRPr="00232313">
        <w:rPr>
          <w:rFonts w:eastAsia="Times New Roman" w:cs="Times New Roman"/>
          <w:szCs w:val="24"/>
        </w:rPr>
        <w:t xml:space="preserve"> </w:t>
      </w:r>
      <w:r w:rsidR="00BB6BD6" w:rsidRPr="00232313">
        <w:rPr>
          <w:rFonts w:eastAsia="Times New Roman" w:cs="Times New Roman"/>
          <w:szCs w:val="24"/>
        </w:rPr>
        <w:t xml:space="preserve">attackers impersonate a bank’s </w:t>
      </w:r>
      <w:r w:rsidR="000944DF" w:rsidRPr="00232313">
        <w:rPr>
          <w:rFonts w:eastAsia="Times New Roman" w:cs="Times New Roman"/>
          <w:szCs w:val="24"/>
        </w:rPr>
        <w:t xml:space="preserve">business </w:t>
      </w:r>
      <w:r w:rsidR="00BB0742" w:rsidRPr="00232313">
        <w:rPr>
          <w:rFonts w:eastAsia="Times New Roman" w:cs="Times New Roman"/>
          <w:szCs w:val="24"/>
        </w:rPr>
        <w:t xml:space="preserve">customer and </w:t>
      </w:r>
      <w:r w:rsidR="00BB6BD6" w:rsidRPr="00232313">
        <w:rPr>
          <w:rFonts w:eastAsia="Times New Roman" w:cs="Times New Roman"/>
          <w:szCs w:val="24"/>
        </w:rPr>
        <w:t xml:space="preserve">request </w:t>
      </w:r>
      <w:r w:rsidR="000944DF" w:rsidRPr="00232313">
        <w:rPr>
          <w:rFonts w:eastAsia="Times New Roman" w:cs="Times New Roman"/>
          <w:szCs w:val="24"/>
        </w:rPr>
        <w:t>unauthorized wire and ACH trans</w:t>
      </w:r>
      <w:r w:rsidR="00124A89" w:rsidRPr="00232313">
        <w:rPr>
          <w:rFonts w:eastAsia="Times New Roman" w:cs="Times New Roman"/>
          <w:szCs w:val="24"/>
        </w:rPr>
        <w:t xml:space="preserve">fers </w:t>
      </w:r>
      <w:r w:rsidR="00BB6BD6" w:rsidRPr="00232313">
        <w:rPr>
          <w:rFonts w:eastAsia="Times New Roman" w:cs="Times New Roman"/>
          <w:szCs w:val="24"/>
        </w:rPr>
        <w:t>to accounts controlled by the attackers</w:t>
      </w:r>
      <w:r w:rsidR="000944DF" w:rsidRPr="00232313">
        <w:rPr>
          <w:rFonts w:eastAsia="Times New Roman" w:cs="Times New Roman"/>
          <w:szCs w:val="24"/>
        </w:rPr>
        <w:t xml:space="preserve">. </w:t>
      </w:r>
    </w:p>
    <w:p w:rsidR="00EE4ABB" w:rsidRPr="00232313" w:rsidRDefault="00124A89" w:rsidP="00986C39">
      <w:pPr>
        <w:numPr>
          <w:ilvl w:val="0"/>
          <w:numId w:val="4"/>
        </w:numPr>
        <w:spacing w:after="360" w:line="240" w:lineRule="auto"/>
        <w:ind w:left="72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t>ATM Cash Out</w:t>
      </w:r>
      <w:r w:rsidR="00EE4ABB" w:rsidRPr="00232313">
        <w:rPr>
          <w:rFonts w:eastAsia="Times New Roman" w:cs="Times New Roman"/>
          <w:szCs w:val="24"/>
        </w:rPr>
        <w:t xml:space="preserve"> </w:t>
      </w:r>
      <w:r w:rsidR="00781AFE" w:rsidRPr="00232313">
        <w:rPr>
          <w:rFonts w:eastAsia="Times New Roman" w:cs="Times New Roman"/>
          <w:szCs w:val="24"/>
        </w:rPr>
        <w:t>– attackers gain access to and alter the setting on ATM web-based control panels</w:t>
      </w:r>
      <w:r w:rsidRPr="00232313">
        <w:rPr>
          <w:rFonts w:eastAsia="Times New Roman" w:cs="Times New Roman"/>
          <w:szCs w:val="24"/>
        </w:rPr>
        <w:t>,</w:t>
      </w:r>
      <w:r w:rsidR="00781AFE" w:rsidRPr="00232313">
        <w:rPr>
          <w:rFonts w:eastAsia="Times New Roman" w:cs="Times New Roman"/>
          <w:szCs w:val="24"/>
        </w:rPr>
        <w:t xml:space="preserve"> causing large-dollar losses. </w:t>
      </w:r>
    </w:p>
    <w:p w:rsidR="00EE4ABB" w:rsidRPr="00232313" w:rsidRDefault="00EE4ABB" w:rsidP="00986C39">
      <w:pPr>
        <w:numPr>
          <w:ilvl w:val="0"/>
          <w:numId w:val="4"/>
        </w:numPr>
        <w:spacing w:after="360" w:line="240" w:lineRule="auto"/>
        <w:ind w:left="72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t xml:space="preserve">CryptoLocker </w:t>
      </w:r>
      <w:r w:rsidR="00781AFE" w:rsidRPr="00232313">
        <w:rPr>
          <w:rFonts w:eastAsia="Times New Roman" w:cs="Times New Roman"/>
          <w:szCs w:val="24"/>
        </w:rPr>
        <w:t xml:space="preserve">– attackers send </w:t>
      </w:r>
      <w:r w:rsidR="00081319" w:rsidRPr="00232313">
        <w:rPr>
          <w:rFonts w:eastAsia="Times New Roman" w:cs="Times New Roman"/>
          <w:szCs w:val="24"/>
        </w:rPr>
        <w:t>phishing emails t</w:t>
      </w:r>
      <w:r w:rsidR="00897147" w:rsidRPr="00232313">
        <w:rPr>
          <w:rFonts w:eastAsia="Times New Roman" w:cs="Times New Roman"/>
          <w:szCs w:val="24"/>
        </w:rPr>
        <w:t>o bank employees t</w:t>
      </w:r>
      <w:r w:rsidR="00081319" w:rsidRPr="00232313">
        <w:rPr>
          <w:rFonts w:eastAsia="Times New Roman" w:cs="Times New Roman"/>
          <w:szCs w:val="24"/>
        </w:rPr>
        <w:t xml:space="preserve">hat contain malware to infect the bank’s </w:t>
      </w:r>
      <w:r w:rsidR="00781AFE" w:rsidRPr="00232313">
        <w:rPr>
          <w:rFonts w:eastAsia="Times New Roman" w:cs="Times New Roman"/>
          <w:szCs w:val="24"/>
        </w:rPr>
        <w:t>computer</w:t>
      </w:r>
      <w:r w:rsidR="00081319" w:rsidRPr="00232313">
        <w:rPr>
          <w:rFonts w:eastAsia="Times New Roman" w:cs="Times New Roman"/>
          <w:szCs w:val="24"/>
        </w:rPr>
        <w:t xml:space="preserve">s and encrypt its </w:t>
      </w:r>
      <w:r w:rsidR="00781AFE" w:rsidRPr="00232313">
        <w:rPr>
          <w:rFonts w:eastAsia="Times New Roman" w:cs="Times New Roman"/>
          <w:szCs w:val="24"/>
        </w:rPr>
        <w:t>data</w:t>
      </w:r>
      <w:r w:rsidR="00897147" w:rsidRPr="00232313">
        <w:rPr>
          <w:rFonts w:eastAsia="Times New Roman" w:cs="Times New Roman"/>
          <w:szCs w:val="24"/>
        </w:rPr>
        <w:t>.  The attackers then demand a</w:t>
      </w:r>
      <w:r w:rsidR="00081319" w:rsidRPr="00232313">
        <w:rPr>
          <w:rFonts w:eastAsia="Times New Roman" w:cs="Times New Roman"/>
          <w:szCs w:val="24"/>
        </w:rPr>
        <w:t xml:space="preserve"> </w:t>
      </w:r>
      <w:r w:rsidR="00781AFE" w:rsidRPr="00232313">
        <w:rPr>
          <w:rFonts w:eastAsia="Times New Roman" w:cs="Times New Roman"/>
          <w:szCs w:val="24"/>
        </w:rPr>
        <w:t>ransom</w:t>
      </w:r>
      <w:r w:rsidR="00081319" w:rsidRPr="00232313">
        <w:rPr>
          <w:rFonts w:eastAsia="Times New Roman" w:cs="Times New Roman"/>
          <w:szCs w:val="24"/>
        </w:rPr>
        <w:t xml:space="preserve"> payment in order for the bank to </w:t>
      </w:r>
      <w:r w:rsidR="00781AFE" w:rsidRPr="00232313">
        <w:rPr>
          <w:rFonts w:eastAsia="Times New Roman" w:cs="Times New Roman"/>
          <w:szCs w:val="24"/>
        </w:rPr>
        <w:t xml:space="preserve">recover </w:t>
      </w:r>
      <w:r w:rsidR="00081319" w:rsidRPr="00232313">
        <w:rPr>
          <w:rFonts w:eastAsia="Times New Roman" w:cs="Times New Roman"/>
          <w:szCs w:val="24"/>
        </w:rPr>
        <w:t xml:space="preserve">access to its </w:t>
      </w:r>
      <w:r w:rsidR="00781AFE" w:rsidRPr="00232313">
        <w:rPr>
          <w:rFonts w:eastAsia="Times New Roman" w:cs="Times New Roman"/>
          <w:szCs w:val="24"/>
        </w:rPr>
        <w:t xml:space="preserve">files. </w:t>
      </w:r>
    </w:p>
    <w:p w:rsidR="00B75AB2" w:rsidRPr="00232313" w:rsidRDefault="003F240F" w:rsidP="003B35BE">
      <w:pPr>
        <w:spacing w:after="360" w:line="240" w:lineRule="auto"/>
        <w:ind w:firstLine="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lastRenderedPageBreak/>
        <w:t>Obviously, large i</w:t>
      </w:r>
      <w:r w:rsidR="00BB0742" w:rsidRPr="00232313">
        <w:rPr>
          <w:rFonts w:eastAsia="Times New Roman" w:cs="Times New Roman"/>
          <w:szCs w:val="24"/>
        </w:rPr>
        <w:t>nvestments in technology and training are required to mitigate against each</w:t>
      </w:r>
      <w:r w:rsidR="00483B6D" w:rsidRPr="00232313">
        <w:rPr>
          <w:rFonts w:eastAsia="Times New Roman" w:cs="Times New Roman"/>
          <w:szCs w:val="24"/>
        </w:rPr>
        <w:t xml:space="preserve"> of </w:t>
      </w:r>
      <w:r w:rsidR="00BB0742" w:rsidRPr="00232313">
        <w:rPr>
          <w:rFonts w:eastAsia="Times New Roman" w:cs="Times New Roman"/>
          <w:szCs w:val="24"/>
        </w:rPr>
        <w:t>these risks</w:t>
      </w:r>
      <w:r w:rsidRPr="00232313">
        <w:rPr>
          <w:rFonts w:eastAsia="Times New Roman" w:cs="Times New Roman"/>
          <w:szCs w:val="24"/>
        </w:rPr>
        <w:t xml:space="preserve">.  However, the second category of risk—the </w:t>
      </w:r>
      <w:r w:rsidR="003C12CD" w:rsidRPr="00232313">
        <w:rPr>
          <w:rFonts w:eastAsia="Times New Roman" w:cs="Times New Roman"/>
          <w:szCs w:val="24"/>
        </w:rPr>
        <w:t>corporate account take</w:t>
      </w:r>
      <w:r w:rsidR="00BB0742" w:rsidRPr="00232313">
        <w:rPr>
          <w:rFonts w:eastAsia="Times New Roman" w:cs="Times New Roman"/>
          <w:szCs w:val="24"/>
        </w:rPr>
        <w:t>over</w:t>
      </w:r>
      <w:r w:rsidRPr="00232313">
        <w:rPr>
          <w:rFonts w:eastAsia="Times New Roman" w:cs="Times New Roman"/>
          <w:szCs w:val="24"/>
        </w:rPr>
        <w:t>—</w:t>
      </w:r>
      <w:r w:rsidR="003C12CD" w:rsidRPr="00232313">
        <w:rPr>
          <w:rFonts w:eastAsia="Times New Roman" w:cs="Times New Roman"/>
          <w:szCs w:val="24"/>
        </w:rPr>
        <w:t xml:space="preserve">requires </w:t>
      </w:r>
      <w:r w:rsidR="003B35BE" w:rsidRPr="00232313">
        <w:rPr>
          <w:rFonts w:eastAsia="Times New Roman" w:cs="Times New Roman"/>
          <w:szCs w:val="24"/>
        </w:rPr>
        <w:t xml:space="preserve">the </w:t>
      </w:r>
      <w:r w:rsidR="003C12CD" w:rsidRPr="00232313">
        <w:rPr>
          <w:rFonts w:eastAsia="Times New Roman" w:cs="Times New Roman"/>
          <w:szCs w:val="24"/>
        </w:rPr>
        <w:t>customer</w:t>
      </w:r>
      <w:r w:rsidR="003B35BE" w:rsidRPr="00232313">
        <w:rPr>
          <w:rFonts w:eastAsia="Times New Roman" w:cs="Times New Roman"/>
          <w:szCs w:val="24"/>
        </w:rPr>
        <w:t xml:space="preserve">’s </w:t>
      </w:r>
      <w:r w:rsidR="00B75AB2" w:rsidRPr="00232313">
        <w:rPr>
          <w:rFonts w:eastAsia="Times New Roman" w:cs="Times New Roman"/>
          <w:szCs w:val="24"/>
        </w:rPr>
        <w:t xml:space="preserve">cooperation and </w:t>
      </w:r>
      <w:r w:rsidR="003B35BE" w:rsidRPr="00232313">
        <w:rPr>
          <w:rFonts w:eastAsia="Times New Roman" w:cs="Times New Roman"/>
          <w:szCs w:val="24"/>
        </w:rPr>
        <w:t xml:space="preserve">vigilance.  </w:t>
      </w:r>
    </w:p>
    <w:p w:rsidR="007336CA" w:rsidRPr="00232313" w:rsidRDefault="003C12CD" w:rsidP="003B35BE">
      <w:pPr>
        <w:spacing w:after="360" w:line="240" w:lineRule="auto"/>
        <w:ind w:firstLine="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t>Fortunately, the Uniform Commercial Code helps</w:t>
      </w:r>
      <w:r w:rsidR="00BB0742" w:rsidRPr="00232313">
        <w:rPr>
          <w:rFonts w:eastAsia="Times New Roman" w:cs="Times New Roman"/>
          <w:szCs w:val="24"/>
        </w:rPr>
        <w:t xml:space="preserve"> banks </w:t>
      </w:r>
      <w:r w:rsidR="00986C39">
        <w:rPr>
          <w:rFonts w:eastAsia="Times New Roman" w:cs="Times New Roman"/>
          <w:szCs w:val="24"/>
        </w:rPr>
        <w:t xml:space="preserve">avoid </w:t>
      </w:r>
      <w:r w:rsidR="00341AE9" w:rsidRPr="00232313">
        <w:rPr>
          <w:rFonts w:eastAsia="Times New Roman" w:cs="Times New Roman"/>
          <w:szCs w:val="24"/>
        </w:rPr>
        <w:t xml:space="preserve">the risk of loss </w:t>
      </w:r>
      <w:r w:rsidR="00986C39">
        <w:rPr>
          <w:rFonts w:eastAsia="Times New Roman" w:cs="Times New Roman"/>
          <w:szCs w:val="24"/>
        </w:rPr>
        <w:t>on commercial accounts</w:t>
      </w:r>
      <w:r w:rsidR="00341AE9" w:rsidRPr="00232313">
        <w:rPr>
          <w:rFonts w:eastAsia="Times New Roman" w:cs="Times New Roman"/>
          <w:szCs w:val="24"/>
        </w:rPr>
        <w:t xml:space="preserve"> </w:t>
      </w:r>
      <w:r w:rsidR="003B35BE" w:rsidRPr="00232313">
        <w:rPr>
          <w:rFonts w:eastAsia="Times New Roman" w:cs="Times New Roman"/>
          <w:szCs w:val="24"/>
        </w:rPr>
        <w:t xml:space="preserve">through </w:t>
      </w:r>
      <w:r w:rsidRPr="00232313">
        <w:rPr>
          <w:rFonts w:eastAsia="Times New Roman" w:cs="Times New Roman"/>
          <w:szCs w:val="24"/>
        </w:rPr>
        <w:t>account agreement</w:t>
      </w:r>
      <w:r w:rsidR="003B35BE" w:rsidRPr="00232313">
        <w:rPr>
          <w:rFonts w:eastAsia="Times New Roman" w:cs="Times New Roman"/>
          <w:szCs w:val="24"/>
        </w:rPr>
        <w:t>s</w:t>
      </w:r>
      <w:r w:rsidRPr="00232313">
        <w:rPr>
          <w:rFonts w:eastAsia="Times New Roman" w:cs="Times New Roman"/>
          <w:szCs w:val="24"/>
        </w:rPr>
        <w:t xml:space="preserve"> </w:t>
      </w:r>
      <w:r w:rsidR="003B35BE" w:rsidRPr="00232313">
        <w:rPr>
          <w:rFonts w:eastAsia="Times New Roman" w:cs="Times New Roman"/>
          <w:szCs w:val="24"/>
        </w:rPr>
        <w:t>that provide</w:t>
      </w:r>
      <w:r w:rsidRPr="00232313">
        <w:rPr>
          <w:rFonts w:eastAsia="Times New Roman" w:cs="Times New Roman"/>
          <w:szCs w:val="24"/>
        </w:rPr>
        <w:t xml:space="preserve"> for robust </w:t>
      </w:r>
      <w:r w:rsidR="00341AE9" w:rsidRPr="00232313">
        <w:rPr>
          <w:rFonts w:eastAsia="Times New Roman" w:cs="Times New Roman"/>
          <w:szCs w:val="24"/>
        </w:rPr>
        <w:t>security procedure</w:t>
      </w:r>
      <w:r w:rsidRPr="00232313">
        <w:rPr>
          <w:rFonts w:eastAsia="Times New Roman" w:cs="Times New Roman"/>
          <w:szCs w:val="24"/>
        </w:rPr>
        <w:t>s</w:t>
      </w:r>
      <w:r w:rsidR="008132D9" w:rsidRPr="00232313">
        <w:rPr>
          <w:rFonts w:eastAsia="Times New Roman" w:cs="Times New Roman"/>
          <w:szCs w:val="24"/>
        </w:rPr>
        <w:t>, such as “dual control</w:t>
      </w:r>
      <w:r w:rsidR="00912A1D" w:rsidRPr="00232313">
        <w:rPr>
          <w:rFonts w:eastAsia="Times New Roman" w:cs="Times New Roman"/>
          <w:szCs w:val="24"/>
        </w:rPr>
        <w:t>,</w:t>
      </w:r>
      <w:r w:rsidR="008132D9" w:rsidRPr="00232313">
        <w:rPr>
          <w:rFonts w:eastAsia="Times New Roman" w:cs="Times New Roman"/>
          <w:szCs w:val="24"/>
        </w:rPr>
        <w:t xml:space="preserve">” to verify the </w:t>
      </w:r>
      <w:r w:rsidR="00341AE9" w:rsidRPr="00232313">
        <w:rPr>
          <w:rFonts w:eastAsia="Times New Roman" w:cs="Times New Roman"/>
          <w:szCs w:val="24"/>
        </w:rPr>
        <w:t>authenticity of payment orders</w:t>
      </w:r>
      <w:r w:rsidRPr="00232313">
        <w:rPr>
          <w:rFonts w:eastAsia="Times New Roman" w:cs="Times New Roman"/>
          <w:szCs w:val="24"/>
        </w:rPr>
        <w:t xml:space="preserve">.  </w:t>
      </w:r>
      <w:r w:rsidR="00547997" w:rsidRPr="00232313">
        <w:rPr>
          <w:rFonts w:eastAsia="Times New Roman" w:cs="Times New Roman"/>
          <w:szCs w:val="24"/>
        </w:rPr>
        <w:t>A</w:t>
      </w:r>
      <w:r w:rsidR="007336CA" w:rsidRPr="00232313">
        <w:rPr>
          <w:rFonts w:eastAsia="Times New Roman" w:cs="Times New Roman"/>
          <w:szCs w:val="24"/>
        </w:rPr>
        <w:t>ccount agreement</w:t>
      </w:r>
      <w:r w:rsidR="00547997" w:rsidRPr="00232313">
        <w:rPr>
          <w:rFonts w:eastAsia="Times New Roman" w:cs="Times New Roman"/>
          <w:szCs w:val="24"/>
        </w:rPr>
        <w:t xml:space="preserve">s </w:t>
      </w:r>
      <w:r w:rsidR="007336CA" w:rsidRPr="00232313">
        <w:rPr>
          <w:rFonts w:eastAsia="Times New Roman" w:cs="Times New Roman"/>
          <w:szCs w:val="24"/>
        </w:rPr>
        <w:t>should require that customer</w:t>
      </w:r>
      <w:r w:rsidR="00547997" w:rsidRPr="00232313">
        <w:rPr>
          <w:rFonts w:eastAsia="Times New Roman" w:cs="Times New Roman"/>
          <w:szCs w:val="24"/>
        </w:rPr>
        <w:t>s</w:t>
      </w:r>
      <w:r w:rsidR="007336CA" w:rsidRPr="00232313">
        <w:rPr>
          <w:rFonts w:eastAsia="Times New Roman" w:cs="Times New Roman"/>
          <w:szCs w:val="24"/>
        </w:rPr>
        <w:t xml:space="preserve"> follow and maintain the confidentiality of the specified security procedures</w:t>
      </w:r>
      <w:r w:rsidR="00547997" w:rsidRPr="00232313">
        <w:rPr>
          <w:rFonts w:eastAsia="Times New Roman" w:cs="Times New Roman"/>
          <w:szCs w:val="24"/>
        </w:rPr>
        <w:t xml:space="preserve">.  They should also require that </w:t>
      </w:r>
      <w:r w:rsidR="008132D9" w:rsidRPr="00232313">
        <w:rPr>
          <w:rFonts w:eastAsia="Times New Roman" w:cs="Times New Roman"/>
          <w:szCs w:val="24"/>
        </w:rPr>
        <w:t>customer</w:t>
      </w:r>
      <w:r w:rsidR="00547997" w:rsidRPr="00232313">
        <w:rPr>
          <w:rFonts w:eastAsia="Times New Roman" w:cs="Times New Roman"/>
          <w:szCs w:val="24"/>
        </w:rPr>
        <w:t>s</w:t>
      </w:r>
      <w:r w:rsidR="008132D9" w:rsidRPr="00232313">
        <w:rPr>
          <w:rFonts w:eastAsia="Times New Roman" w:cs="Times New Roman"/>
          <w:szCs w:val="24"/>
        </w:rPr>
        <w:t xml:space="preserve"> </w:t>
      </w:r>
      <w:r w:rsidR="007336CA" w:rsidRPr="00232313">
        <w:rPr>
          <w:rFonts w:eastAsia="Times New Roman" w:cs="Times New Roman"/>
          <w:szCs w:val="24"/>
        </w:rPr>
        <w:t>prevent una</w:t>
      </w:r>
      <w:r w:rsidR="00547997" w:rsidRPr="00232313">
        <w:rPr>
          <w:rFonts w:eastAsia="Times New Roman" w:cs="Times New Roman"/>
          <w:szCs w:val="24"/>
        </w:rPr>
        <w:t xml:space="preserve">uthorized access to </w:t>
      </w:r>
      <w:r w:rsidR="008132D9" w:rsidRPr="00232313">
        <w:rPr>
          <w:rFonts w:eastAsia="Times New Roman" w:cs="Times New Roman"/>
          <w:szCs w:val="24"/>
        </w:rPr>
        <w:t>account</w:t>
      </w:r>
      <w:r w:rsidR="00547997" w:rsidRPr="00232313">
        <w:rPr>
          <w:rFonts w:eastAsia="Times New Roman" w:cs="Times New Roman"/>
          <w:szCs w:val="24"/>
        </w:rPr>
        <w:t>s</w:t>
      </w:r>
      <w:r w:rsidR="007336CA" w:rsidRPr="00232313">
        <w:rPr>
          <w:rFonts w:eastAsia="Times New Roman" w:cs="Times New Roman"/>
          <w:szCs w:val="24"/>
        </w:rPr>
        <w:t xml:space="preserve"> and immediately notify the bank of any unauthorized access </w:t>
      </w:r>
      <w:r w:rsidR="00547997" w:rsidRPr="00232313">
        <w:rPr>
          <w:rFonts w:eastAsia="Times New Roman" w:cs="Times New Roman"/>
          <w:szCs w:val="24"/>
        </w:rPr>
        <w:t xml:space="preserve">to </w:t>
      </w:r>
      <w:r w:rsidR="007336CA" w:rsidRPr="00232313">
        <w:rPr>
          <w:rFonts w:eastAsia="Times New Roman" w:cs="Times New Roman"/>
          <w:szCs w:val="24"/>
        </w:rPr>
        <w:t xml:space="preserve">or disclosure of confidential information to unauthorized persons.  </w:t>
      </w:r>
    </w:p>
    <w:p w:rsidR="00341AE9" w:rsidRPr="00232313" w:rsidRDefault="00547997" w:rsidP="00E43E37">
      <w:pPr>
        <w:spacing w:after="360" w:line="240" w:lineRule="auto"/>
        <w:ind w:firstLine="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t>Banks who use</w:t>
      </w:r>
      <w:r w:rsidR="007336CA" w:rsidRPr="00232313">
        <w:rPr>
          <w:rFonts w:eastAsia="Times New Roman" w:cs="Times New Roman"/>
          <w:szCs w:val="24"/>
        </w:rPr>
        <w:t xml:space="preserve"> third-party vendors should </w:t>
      </w:r>
      <w:r w:rsidR="00E43E37" w:rsidRPr="00232313">
        <w:rPr>
          <w:rFonts w:eastAsia="Times New Roman" w:cs="Times New Roman"/>
          <w:szCs w:val="24"/>
        </w:rPr>
        <w:t xml:space="preserve">also </w:t>
      </w:r>
      <w:r w:rsidRPr="00232313">
        <w:rPr>
          <w:rFonts w:eastAsia="Times New Roman" w:cs="Times New Roman"/>
          <w:szCs w:val="24"/>
        </w:rPr>
        <w:t xml:space="preserve">review their vendor contracts and </w:t>
      </w:r>
      <w:r w:rsidR="007336CA" w:rsidRPr="00232313">
        <w:rPr>
          <w:rFonts w:eastAsia="Times New Roman" w:cs="Times New Roman"/>
          <w:szCs w:val="24"/>
        </w:rPr>
        <w:t xml:space="preserve">confirm that the </w:t>
      </w:r>
      <w:r w:rsidR="00E43E37" w:rsidRPr="00232313">
        <w:rPr>
          <w:rFonts w:eastAsia="Times New Roman" w:cs="Times New Roman"/>
          <w:szCs w:val="24"/>
        </w:rPr>
        <w:t>vendor</w:t>
      </w:r>
      <w:r w:rsidRPr="00232313">
        <w:rPr>
          <w:rFonts w:eastAsia="Times New Roman" w:cs="Times New Roman"/>
          <w:szCs w:val="24"/>
        </w:rPr>
        <w:t xml:space="preserve"> is required to</w:t>
      </w:r>
      <w:r w:rsidR="00E43E37" w:rsidRPr="00232313">
        <w:rPr>
          <w:rFonts w:eastAsia="Times New Roman" w:cs="Times New Roman"/>
          <w:szCs w:val="24"/>
        </w:rPr>
        <w:t xml:space="preserve"> </w:t>
      </w:r>
      <w:r w:rsidRPr="00232313">
        <w:rPr>
          <w:rFonts w:eastAsia="Times New Roman" w:cs="Times New Roman"/>
          <w:szCs w:val="24"/>
        </w:rPr>
        <w:t>implement</w:t>
      </w:r>
      <w:r w:rsidR="007336CA" w:rsidRPr="00232313">
        <w:rPr>
          <w:rFonts w:eastAsia="Times New Roman" w:cs="Times New Roman"/>
          <w:szCs w:val="24"/>
        </w:rPr>
        <w:t xml:space="preserve"> commercially reasonable security procedures and to provide immediate noti</w:t>
      </w:r>
      <w:r w:rsidRPr="00232313">
        <w:rPr>
          <w:rFonts w:eastAsia="Times New Roman" w:cs="Times New Roman"/>
          <w:szCs w:val="24"/>
        </w:rPr>
        <w:t>fication of suspicious activity.</w:t>
      </w:r>
    </w:p>
    <w:p w:rsidR="00232313" w:rsidRPr="00232313" w:rsidRDefault="00547997" w:rsidP="00232313">
      <w:pPr>
        <w:spacing w:after="360" w:line="240" w:lineRule="auto"/>
        <w:ind w:firstLine="0"/>
        <w:jc w:val="left"/>
        <w:rPr>
          <w:rFonts w:eastAsia="Times New Roman" w:cs="Times New Roman"/>
          <w:szCs w:val="24"/>
        </w:rPr>
      </w:pPr>
      <w:r w:rsidRPr="00232313">
        <w:rPr>
          <w:rFonts w:eastAsia="Times New Roman" w:cs="Times New Roman"/>
          <w:szCs w:val="24"/>
        </w:rPr>
        <w:t xml:space="preserve">Finally, </w:t>
      </w:r>
      <w:r w:rsidR="00E43E37" w:rsidRPr="00232313">
        <w:rPr>
          <w:rFonts w:eastAsia="Times New Roman" w:cs="Times New Roman"/>
          <w:szCs w:val="24"/>
        </w:rPr>
        <w:t>bank</w:t>
      </w:r>
      <w:r w:rsidRPr="00232313">
        <w:rPr>
          <w:rFonts w:eastAsia="Times New Roman" w:cs="Times New Roman"/>
          <w:szCs w:val="24"/>
        </w:rPr>
        <w:t>s</w:t>
      </w:r>
      <w:r w:rsidR="00E43E37" w:rsidRPr="00232313">
        <w:rPr>
          <w:rFonts w:eastAsia="Times New Roman" w:cs="Times New Roman"/>
          <w:szCs w:val="24"/>
        </w:rPr>
        <w:t xml:space="preserve"> should discuss cybersecurity </w:t>
      </w:r>
      <w:r w:rsidR="00642CEC" w:rsidRPr="00232313">
        <w:rPr>
          <w:rFonts w:eastAsia="Times New Roman" w:cs="Times New Roman"/>
          <w:szCs w:val="24"/>
        </w:rPr>
        <w:t xml:space="preserve">insurance </w:t>
      </w:r>
      <w:r w:rsidRPr="00232313">
        <w:rPr>
          <w:rFonts w:eastAsia="Times New Roman" w:cs="Times New Roman"/>
          <w:szCs w:val="24"/>
        </w:rPr>
        <w:t xml:space="preserve">with their professional liability </w:t>
      </w:r>
      <w:r w:rsidR="00642CEC" w:rsidRPr="00232313">
        <w:rPr>
          <w:rFonts w:eastAsia="Times New Roman" w:cs="Times New Roman"/>
          <w:szCs w:val="24"/>
        </w:rPr>
        <w:t xml:space="preserve">insurance agent to understand what cybersecurity coverages are available, as well as what exclusions, caps and </w:t>
      </w:r>
      <w:r w:rsidR="00A10436" w:rsidRPr="00232313">
        <w:rPr>
          <w:rFonts w:eastAsia="Times New Roman" w:cs="Times New Roman"/>
          <w:szCs w:val="24"/>
        </w:rPr>
        <w:t>deductibles</w:t>
      </w:r>
      <w:r w:rsidR="00642CEC" w:rsidRPr="00232313">
        <w:rPr>
          <w:rFonts w:eastAsia="Times New Roman" w:cs="Times New Roman"/>
          <w:szCs w:val="24"/>
        </w:rPr>
        <w:t xml:space="preserve"> might apply</w:t>
      </w:r>
      <w:r w:rsidR="00E43E37" w:rsidRPr="00232313">
        <w:rPr>
          <w:rFonts w:eastAsia="Times New Roman" w:cs="Times New Roman"/>
          <w:szCs w:val="24"/>
        </w:rPr>
        <w:t>.</w:t>
      </w:r>
      <w:r w:rsidR="00642CEC" w:rsidRPr="00232313">
        <w:rPr>
          <w:rFonts w:eastAsia="Times New Roman" w:cs="Times New Roman"/>
          <w:szCs w:val="24"/>
        </w:rPr>
        <w:t xml:space="preserve">  This is a new and evolving insurance product and significant differences</w:t>
      </w:r>
      <w:r w:rsidR="00232313" w:rsidRPr="00232313">
        <w:rPr>
          <w:rFonts w:eastAsia="Times New Roman" w:cs="Times New Roman"/>
          <w:szCs w:val="24"/>
        </w:rPr>
        <w:t xml:space="preserve"> exist from policy to policy.</w:t>
      </w:r>
    </w:p>
    <w:p w:rsidR="00232313" w:rsidRPr="00232313" w:rsidRDefault="00232313" w:rsidP="00232313">
      <w:pPr>
        <w:spacing w:after="360" w:line="240" w:lineRule="auto"/>
        <w:ind w:firstLine="0"/>
        <w:jc w:val="left"/>
        <w:rPr>
          <w:rFonts w:eastAsia="Times New Roman" w:cs="Times New Roman"/>
          <w:szCs w:val="24"/>
        </w:rPr>
      </w:pPr>
      <w:r w:rsidRPr="00232313">
        <w:rPr>
          <w:rFonts w:eastAsia="Calibri" w:cs="Times New Roman"/>
          <w:szCs w:val="24"/>
        </w:rPr>
        <w:t xml:space="preserve">For more information about cybersecurity legal and regulatory considerations contact Mel Tull, VBA General Counsel, at </w:t>
      </w:r>
      <w:hyperlink r:id="rId8" w:history="1">
        <w:r w:rsidRPr="00232313">
          <w:rPr>
            <w:rFonts w:eastAsia="Calibri" w:cs="Times New Roman"/>
            <w:szCs w:val="24"/>
            <w:u w:val="single"/>
          </w:rPr>
          <w:t>mtull@vabankers.org</w:t>
        </w:r>
      </w:hyperlink>
      <w:r w:rsidRPr="00232313">
        <w:rPr>
          <w:rFonts w:eastAsia="Calibri" w:cs="Times New Roman"/>
          <w:szCs w:val="24"/>
        </w:rPr>
        <w:t xml:space="preserve"> or (804) 819-4710.</w:t>
      </w:r>
    </w:p>
    <w:p w:rsidR="00232313" w:rsidRPr="00232313" w:rsidRDefault="00232313" w:rsidP="00232313">
      <w:pPr>
        <w:widowControl w:val="0"/>
        <w:ind w:firstLine="0"/>
        <w:jc w:val="center"/>
        <w:rPr>
          <w:rFonts w:eastAsia="Calibri" w:cs="Times New Roman"/>
          <w:i/>
          <w:szCs w:val="24"/>
        </w:rPr>
      </w:pPr>
      <w:r w:rsidRPr="00232313">
        <w:rPr>
          <w:rFonts w:eastAsia="Calibri" w:cs="Times New Roman"/>
          <w:i/>
          <w:szCs w:val="24"/>
        </w:rPr>
        <w:t>This article has been prepared for informational purposes only and is not legal advice.</w:t>
      </w:r>
    </w:p>
    <w:sectPr w:rsidR="00232313" w:rsidRPr="00232313">
      <w:endnotePr>
        <w:numFmt w:val="decimal"/>
      </w:endnote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10" w:rsidRDefault="008D6510" w:rsidP="008D6510">
      <w:pPr>
        <w:spacing w:line="240" w:lineRule="auto"/>
      </w:pPr>
      <w:r>
        <w:separator/>
      </w:r>
    </w:p>
  </w:endnote>
  <w:endnote w:type="continuationSeparator" w:id="0">
    <w:p w:rsidR="008D6510" w:rsidRDefault="008D6510" w:rsidP="008D6510">
      <w:pPr>
        <w:spacing w:line="240" w:lineRule="auto"/>
      </w:pPr>
      <w:r>
        <w:continuationSeparator/>
      </w:r>
    </w:p>
  </w:endnote>
  <w:endnote w:id="1">
    <w:p w:rsidR="00232313" w:rsidRPr="00232313" w:rsidRDefault="00232313" w:rsidP="003B35BE">
      <w:pPr>
        <w:pStyle w:val="EndnoteText"/>
        <w:ind w:firstLine="0"/>
        <w:rPr>
          <w:rFonts w:cs="Times New Roman"/>
          <w:sz w:val="18"/>
          <w:szCs w:val="18"/>
        </w:rPr>
      </w:pPr>
      <w:r w:rsidRPr="00232313">
        <w:rPr>
          <w:rStyle w:val="EndnoteReference"/>
          <w:rFonts w:cs="Times New Roman"/>
          <w:sz w:val="18"/>
          <w:szCs w:val="18"/>
        </w:rPr>
        <w:endnoteRef/>
      </w:r>
      <w:r w:rsidRPr="00232313">
        <w:rPr>
          <w:rFonts w:cs="Times New Roman"/>
          <w:sz w:val="18"/>
          <w:szCs w:val="18"/>
        </w:rPr>
        <w:t xml:space="preserve"> </w:t>
      </w:r>
      <w:hyperlink r:id="rId1" w:history="1">
        <w:r w:rsidRPr="00232313">
          <w:rPr>
            <w:rStyle w:val="Hyperlink"/>
            <w:rFonts w:cs="Times New Roman"/>
            <w:color w:val="auto"/>
            <w:sz w:val="18"/>
            <w:szCs w:val="18"/>
          </w:rPr>
          <w:t>http://ithandbook.ffiec.gov/it-booklets/e-banking</w:t>
        </w:r>
      </w:hyperlink>
    </w:p>
    <w:p w:rsidR="00232313" w:rsidRPr="00232313" w:rsidRDefault="00232313" w:rsidP="003B35BE">
      <w:pPr>
        <w:pStyle w:val="EndnoteText"/>
        <w:ind w:firstLine="0"/>
        <w:rPr>
          <w:rFonts w:cs="Times New Roman"/>
          <w:sz w:val="18"/>
          <w:szCs w:val="18"/>
        </w:rPr>
      </w:pPr>
    </w:p>
  </w:endnote>
  <w:endnote w:id="2">
    <w:p w:rsidR="00232313" w:rsidRPr="00232313" w:rsidRDefault="00232313" w:rsidP="003B35BE">
      <w:pPr>
        <w:pStyle w:val="EndnoteText"/>
        <w:ind w:firstLine="0"/>
        <w:jc w:val="left"/>
        <w:rPr>
          <w:rFonts w:cs="Times New Roman"/>
          <w:sz w:val="18"/>
          <w:szCs w:val="18"/>
        </w:rPr>
      </w:pPr>
      <w:r w:rsidRPr="00232313">
        <w:rPr>
          <w:rStyle w:val="EndnoteReference"/>
          <w:rFonts w:cs="Times New Roman"/>
          <w:sz w:val="18"/>
          <w:szCs w:val="18"/>
        </w:rPr>
        <w:endnoteRef/>
      </w:r>
      <w:r w:rsidRPr="00232313">
        <w:rPr>
          <w:rFonts w:cs="Times New Roman"/>
          <w:sz w:val="18"/>
          <w:szCs w:val="18"/>
        </w:rPr>
        <w:t xml:space="preserve"> </w:t>
      </w:r>
      <w:hyperlink r:id="rId2" w:history="1">
        <w:r w:rsidRPr="00232313">
          <w:rPr>
            <w:rStyle w:val="Hyperlink"/>
            <w:rFonts w:cs="Times New Roman"/>
            <w:sz w:val="18"/>
            <w:szCs w:val="18"/>
          </w:rPr>
          <w:t>https://www.csbs.org/CyberSecurity/Documents/CSBS%20Cybersecurity%20101%20Resource%20Guide%20FINAL.pdf</w:t>
        </w:r>
      </w:hyperlink>
      <w:r w:rsidRPr="00232313">
        <w:rPr>
          <w:rFonts w:cs="Times New Roman"/>
          <w:sz w:val="18"/>
          <w:szCs w:val="18"/>
        </w:rPr>
        <w:t xml:space="preserve"> </w:t>
      </w:r>
    </w:p>
    <w:p w:rsidR="00232313" w:rsidRPr="00232313" w:rsidRDefault="00232313" w:rsidP="008D6510">
      <w:pPr>
        <w:pStyle w:val="EndnoteText"/>
        <w:ind w:firstLine="0"/>
        <w:jc w:val="left"/>
        <w:rPr>
          <w:rFonts w:cs="Times New Roman"/>
          <w:sz w:val="18"/>
          <w:szCs w:val="1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10" w:rsidRDefault="008D6510" w:rsidP="008D6510">
      <w:pPr>
        <w:spacing w:line="240" w:lineRule="auto"/>
      </w:pPr>
      <w:r>
        <w:separator/>
      </w:r>
    </w:p>
  </w:footnote>
  <w:footnote w:type="continuationSeparator" w:id="0">
    <w:p w:rsidR="008D6510" w:rsidRDefault="008D6510" w:rsidP="008D65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B1661"/>
    <w:multiLevelType w:val="hybridMultilevel"/>
    <w:tmpl w:val="D3923030"/>
    <w:lvl w:ilvl="0" w:tplc="F1A267B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326F"/>
    <w:multiLevelType w:val="hybridMultilevel"/>
    <w:tmpl w:val="25E2A3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864E34"/>
    <w:multiLevelType w:val="hybridMultilevel"/>
    <w:tmpl w:val="CB3E8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03938"/>
    <w:multiLevelType w:val="multilevel"/>
    <w:tmpl w:val="9E2A40B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AE9"/>
    <w:rsid w:val="00081319"/>
    <w:rsid w:val="000862A1"/>
    <w:rsid w:val="000944DF"/>
    <w:rsid w:val="00124A89"/>
    <w:rsid w:val="001E0E40"/>
    <w:rsid w:val="00232313"/>
    <w:rsid w:val="002520B6"/>
    <w:rsid w:val="002574AB"/>
    <w:rsid w:val="002E0355"/>
    <w:rsid w:val="00341AE9"/>
    <w:rsid w:val="003768CE"/>
    <w:rsid w:val="003B35BE"/>
    <w:rsid w:val="003C12CD"/>
    <w:rsid w:val="003F240F"/>
    <w:rsid w:val="00447C9E"/>
    <w:rsid w:val="00483B6D"/>
    <w:rsid w:val="00547997"/>
    <w:rsid w:val="00642CEC"/>
    <w:rsid w:val="007336CA"/>
    <w:rsid w:val="00781AFE"/>
    <w:rsid w:val="008132D9"/>
    <w:rsid w:val="00897147"/>
    <w:rsid w:val="008D6510"/>
    <w:rsid w:val="008F303A"/>
    <w:rsid w:val="00912A1D"/>
    <w:rsid w:val="009610C4"/>
    <w:rsid w:val="00986C39"/>
    <w:rsid w:val="009C1C3D"/>
    <w:rsid w:val="00A10436"/>
    <w:rsid w:val="00AC1A1D"/>
    <w:rsid w:val="00B260C8"/>
    <w:rsid w:val="00B75AB2"/>
    <w:rsid w:val="00BB0742"/>
    <w:rsid w:val="00BB6BD6"/>
    <w:rsid w:val="00BE7CB5"/>
    <w:rsid w:val="00C04883"/>
    <w:rsid w:val="00C30DA7"/>
    <w:rsid w:val="00CA7A7A"/>
    <w:rsid w:val="00E43E37"/>
    <w:rsid w:val="00E638ED"/>
    <w:rsid w:val="00E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71F403-D3C0-4482-9808-BFAF06AE0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ind w:firstLine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651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651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651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D6510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42CEC"/>
    <w:rPr>
      <w:color w:val="800080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2313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231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23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6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tull@vabankers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sbs.org/CyberSecurity/Documents/CSBS%20Cybersecurity%20101%20Resource%20Guide%20FINAL.pdf" TargetMode="External"/><Relationship Id="rId1" Type="http://schemas.openxmlformats.org/officeDocument/2006/relationships/hyperlink" Target="http://ithandbook.ffiec.gov/it-booklets/e-bank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E8AC0-DE67-4368-A138-6F87AB08E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Melvin Tull</dc:creator>
  <cp:lastModifiedBy>Chandler Owdom</cp:lastModifiedBy>
  <cp:revision>2</cp:revision>
  <cp:lastPrinted>2015-12-17T13:12:00Z</cp:lastPrinted>
  <dcterms:created xsi:type="dcterms:W3CDTF">2015-12-21T14:39:00Z</dcterms:created>
  <dcterms:modified xsi:type="dcterms:W3CDTF">2015-12-21T14:39:00Z</dcterms:modified>
</cp:coreProperties>
</file>