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1E2C" w14:textId="3B3ECA46" w:rsidR="00CA51A6" w:rsidRPr="0074733A" w:rsidRDefault="00CA51A6" w:rsidP="00CA51A6">
      <w:pPr>
        <w:jc w:val="center"/>
        <w:rPr>
          <w:rFonts w:cstheme="minorHAnsi"/>
          <w:b/>
          <w:bCs/>
        </w:rPr>
      </w:pPr>
      <w:r w:rsidRPr="0074733A">
        <w:rPr>
          <w:rFonts w:cstheme="minorHAnsi"/>
          <w:b/>
          <w:bCs/>
        </w:rPr>
        <w:t>202</w:t>
      </w:r>
      <w:r>
        <w:rPr>
          <w:rFonts w:cstheme="minorHAnsi"/>
          <w:b/>
          <w:bCs/>
        </w:rPr>
        <w:t>3</w:t>
      </w:r>
      <w:r w:rsidRPr="0074733A">
        <w:rPr>
          <w:rFonts w:cstheme="minorHAnsi"/>
          <w:b/>
          <w:bCs/>
        </w:rPr>
        <w:t xml:space="preserve"> Virginia Bankers School of Bank Management</w:t>
      </w:r>
      <w:r w:rsidRPr="0074733A">
        <w:rPr>
          <w:rFonts w:cstheme="minorHAnsi"/>
          <w:b/>
          <w:bCs/>
        </w:rPr>
        <w:br/>
        <w:t>Grade Sheet</w:t>
      </w:r>
    </w:p>
    <w:p w14:paraId="67414457" w14:textId="26F754C1" w:rsidR="00CA51A6" w:rsidRPr="0074733A" w:rsidRDefault="005254EB" w:rsidP="00CA51A6">
      <w:pPr>
        <w:jc w:val="center"/>
        <w:rPr>
          <w:rFonts w:cstheme="minorHAnsi"/>
          <w:b/>
          <w:bCs/>
        </w:rPr>
      </w:pPr>
      <w:r>
        <w:rPr>
          <w:rFonts w:cstheme="minorHAnsi"/>
          <w:b/>
          <w:bCs/>
        </w:rPr>
        <w:t>2nd</w:t>
      </w:r>
      <w:r w:rsidR="00CA51A6" w:rsidRPr="0074733A">
        <w:rPr>
          <w:rFonts w:cstheme="minorHAnsi"/>
          <w:b/>
          <w:bCs/>
        </w:rPr>
        <w:t xml:space="preserve"> Year</w:t>
      </w:r>
    </w:p>
    <w:tbl>
      <w:tblPr>
        <w:tblStyle w:val="TableGrid"/>
        <w:tblW w:w="0" w:type="auto"/>
        <w:tblLook w:val="04A0" w:firstRow="1" w:lastRow="0" w:firstColumn="1" w:lastColumn="0" w:noHBand="0" w:noVBand="1"/>
      </w:tblPr>
      <w:tblGrid>
        <w:gridCol w:w="2515"/>
        <w:gridCol w:w="6835"/>
      </w:tblGrid>
      <w:tr w:rsidR="00CA51A6" w:rsidRPr="0074733A" w14:paraId="54785600" w14:textId="77777777" w:rsidTr="00066881">
        <w:tc>
          <w:tcPr>
            <w:tcW w:w="2515" w:type="dxa"/>
          </w:tcPr>
          <w:p w14:paraId="4DE7ACF3" w14:textId="77777777" w:rsidR="00CA51A6" w:rsidRPr="0074733A" w:rsidRDefault="00CA51A6" w:rsidP="00066881">
            <w:pPr>
              <w:rPr>
                <w:rFonts w:cstheme="minorHAnsi"/>
                <w:b/>
                <w:bCs/>
              </w:rPr>
            </w:pPr>
            <w:r w:rsidRPr="0074733A">
              <w:rPr>
                <w:rFonts w:cstheme="minorHAnsi"/>
                <w:b/>
                <w:bCs/>
              </w:rPr>
              <w:t>Name:</w:t>
            </w:r>
          </w:p>
        </w:tc>
        <w:tc>
          <w:tcPr>
            <w:tcW w:w="6835" w:type="dxa"/>
          </w:tcPr>
          <w:p w14:paraId="4BE2BCF8" w14:textId="07157286" w:rsidR="00CA51A6" w:rsidRPr="0074733A" w:rsidRDefault="00CA51A6" w:rsidP="00066881">
            <w:pPr>
              <w:rPr>
                <w:rFonts w:cstheme="minorHAnsi"/>
              </w:rPr>
            </w:pPr>
          </w:p>
        </w:tc>
      </w:tr>
      <w:tr w:rsidR="00CA51A6" w:rsidRPr="0074733A" w14:paraId="1C1BE3B2" w14:textId="77777777" w:rsidTr="00066881">
        <w:tc>
          <w:tcPr>
            <w:tcW w:w="2515" w:type="dxa"/>
          </w:tcPr>
          <w:p w14:paraId="27882B06" w14:textId="77777777" w:rsidR="00CA51A6" w:rsidRPr="0074733A" w:rsidRDefault="00CA51A6" w:rsidP="00066881">
            <w:pPr>
              <w:rPr>
                <w:rFonts w:cstheme="minorHAnsi"/>
                <w:b/>
                <w:bCs/>
              </w:rPr>
            </w:pPr>
            <w:r w:rsidRPr="0074733A">
              <w:rPr>
                <w:rFonts w:cstheme="minorHAnsi"/>
                <w:b/>
                <w:bCs/>
              </w:rPr>
              <w:t>Bank:</w:t>
            </w:r>
          </w:p>
        </w:tc>
        <w:tc>
          <w:tcPr>
            <w:tcW w:w="6835" w:type="dxa"/>
          </w:tcPr>
          <w:p w14:paraId="2DE743AC" w14:textId="4ED5043A" w:rsidR="00CA51A6" w:rsidRPr="0074733A" w:rsidRDefault="00CA51A6" w:rsidP="00066881">
            <w:pPr>
              <w:rPr>
                <w:rFonts w:cstheme="minorHAnsi"/>
              </w:rPr>
            </w:pPr>
          </w:p>
        </w:tc>
      </w:tr>
      <w:tr w:rsidR="00CA51A6" w:rsidRPr="0074733A" w14:paraId="1940D32D" w14:textId="77777777" w:rsidTr="00066881">
        <w:tc>
          <w:tcPr>
            <w:tcW w:w="2515" w:type="dxa"/>
          </w:tcPr>
          <w:p w14:paraId="74FADEB4" w14:textId="77777777" w:rsidR="00CA51A6" w:rsidRPr="0074733A" w:rsidRDefault="00CA51A6" w:rsidP="00066881">
            <w:pPr>
              <w:rPr>
                <w:rFonts w:cstheme="minorHAnsi"/>
                <w:b/>
                <w:bCs/>
              </w:rPr>
            </w:pPr>
            <w:r w:rsidRPr="0074733A">
              <w:rPr>
                <w:rFonts w:cstheme="minorHAnsi"/>
                <w:b/>
                <w:bCs/>
              </w:rPr>
              <w:t>Class (Instructor):</w:t>
            </w:r>
          </w:p>
        </w:tc>
        <w:tc>
          <w:tcPr>
            <w:tcW w:w="6835" w:type="dxa"/>
          </w:tcPr>
          <w:p w14:paraId="573EA4B0" w14:textId="5D100C52" w:rsidR="00CA51A6" w:rsidRPr="0074733A" w:rsidRDefault="00CA51A6" w:rsidP="00066881">
            <w:pPr>
              <w:rPr>
                <w:rFonts w:cstheme="minorHAnsi"/>
              </w:rPr>
            </w:pPr>
          </w:p>
        </w:tc>
      </w:tr>
      <w:tr w:rsidR="00CA51A6" w:rsidRPr="0074733A" w14:paraId="51B04716" w14:textId="77777777" w:rsidTr="00066881">
        <w:tc>
          <w:tcPr>
            <w:tcW w:w="2515" w:type="dxa"/>
          </w:tcPr>
          <w:p w14:paraId="66F213A7" w14:textId="77777777" w:rsidR="00CA51A6" w:rsidRPr="0074733A" w:rsidRDefault="00CA51A6" w:rsidP="00066881">
            <w:pPr>
              <w:rPr>
                <w:rFonts w:cstheme="minorHAnsi"/>
                <w:b/>
                <w:bCs/>
              </w:rPr>
            </w:pPr>
            <w:r w:rsidRPr="0074733A">
              <w:rPr>
                <w:rFonts w:cstheme="minorHAnsi"/>
                <w:b/>
                <w:bCs/>
              </w:rPr>
              <w:t>Grade:</w:t>
            </w:r>
          </w:p>
        </w:tc>
        <w:tc>
          <w:tcPr>
            <w:tcW w:w="6835" w:type="dxa"/>
          </w:tcPr>
          <w:p w14:paraId="6FE8D13F" w14:textId="0EA8C13F" w:rsidR="00CA51A6" w:rsidRPr="0074733A" w:rsidRDefault="00CA51A6" w:rsidP="00066881">
            <w:pPr>
              <w:rPr>
                <w:rFonts w:cstheme="minorHAnsi"/>
              </w:rPr>
            </w:pPr>
          </w:p>
        </w:tc>
      </w:tr>
    </w:tbl>
    <w:p w14:paraId="72A3F1BA" w14:textId="77777777" w:rsidR="00CA51A6" w:rsidRPr="0074733A" w:rsidRDefault="00CA51A6" w:rsidP="00CA51A6">
      <w:pPr>
        <w:rPr>
          <w:rFonts w:cstheme="minorHAnsi"/>
        </w:rPr>
      </w:pPr>
    </w:p>
    <w:p w14:paraId="167D6B80" w14:textId="7918BABB" w:rsidR="00CA51A6" w:rsidRPr="0074733A" w:rsidRDefault="00CA51A6" w:rsidP="00CA51A6">
      <w:pPr>
        <w:rPr>
          <w:rFonts w:cstheme="minorHAnsi"/>
          <w:b/>
          <w:bCs/>
          <w:u w:val="single"/>
        </w:rPr>
      </w:pPr>
      <w:r>
        <w:rPr>
          <w:rFonts w:cstheme="minorHAnsi"/>
          <w:b/>
          <w:bCs/>
          <w:u w:val="single"/>
        </w:rPr>
        <w:t>Grading Grid:</w:t>
      </w:r>
    </w:p>
    <w:tbl>
      <w:tblPr>
        <w:tblStyle w:val="TableGrid"/>
        <w:tblW w:w="9900" w:type="dxa"/>
        <w:tblInd w:w="-290" w:type="dxa"/>
        <w:tblLook w:val="04A0" w:firstRow="1" w:lastRow="0" w:firstColumn="1" w:lastColumn="0" w:noHBand="0" w:noVBand="1"/>
      </w:tblPr>
      <w:tblGrid>
        <w:gridCol w:w="8801"/>
        <w:gridCol w:w="1099"/>
      </w:tblGrid>
      <w:tr w:rsidR="00CA51A6" w:rsidRPr="0074733A" w14:paraId="79EA3843" w14:textId="77777777" w:rsidTr="00CA51A6">
        <w:tc>
          <w:tcPr>
            <w:tcW w:w="8801" w:type="dxa"/>
          </w:tcPr>
          <w:p w14:paraId="6491DBF3" w14:textId="36303A8C" w:rsidR="00CA51A6" w:rsidRPr="00CA51A6" w:rsidRDefault="00CA51A6" w:rsidP="00CA51A6">
            <w:pPr>
              <w:jc w:val="center"/>
              <w:rPr>
                <w:rFonts w:cstheme="minorHAnsi"/>
                <w:b/>
                <w:bCs/>
              </w:rPr>
            </w:pPr>
            <w:r w:rsidRPr="00CA51A6">
              <w:rPr>
                <w:rFonts w:cstheme="minorHAnsi"/>
                <w:b/>
                <w:bCs/>
              </w:rPr>
              <w:t>Grading Criteria</w:t>
            </w:r>
          </w:p>
        </w:tc>
        <w:tc>
          <w:tcPr>
            <w:tcW w:w="1099" w:type="dxa"/>
          </w:tcPr>
          <w:p w14:paraId="4AAFD9EF" w14:textId="1CE4F987" w:rsidR="00CA51A6" w:rsidRPr="00CA51A6" w:rsidRDefault="00CA51A6" w:rsidP="00CA51A6">
            <w:pPr>
              <w:jc w:val="center"/>
              <w:rPr>
                <w:rFonts w:cstheme="minorHAnsi"/>
                <w:b/>
                <w:bCs/>
              </w:rPr>
            </w:pPr>
            <w:r w:rsidRPr="00CA51A6">
              <w:rPr>
                <w:rFonts w:cstheme="minorHAnsi"/>
                <w:b/>
                <w:bCs/>
              </w:rPr>
              <w:t>Points Deducted</w:t>
            </w:r>
          </w:p>
        </w:tc>
      </w:tr>
      <w:tr w:rsidR="00CA51A6" w:rsidRPr="0074733A" w14:paraId="1B758172" w14:textId="77777777" w:rsidTr="00CA51A6">
        <w:trPr>
          <w:trHeight w:val="1097"/>
        </w:trPr>
        <w:tc>
          <w:tcPr>
            <w:tcW w:w="8801" w:type="dxa"/>
          </w:tcPr>
          <w:p w14:paraId="481818D1" w14:textId="5FC5E47B" w:rsidR="00CA51A6" w:rsidRPr="00CA51A6" w:rsidRDefault="005254EB" w:rsidP="00CA51A6">
            <w:pPr>
              <w:rPr>
                <w:rFonts w:eastAsia="Times New Roman" w:cstheme="minorHAnsi"/>
              </w:rPr>
            </w:pPr>
            <w:r w:rsidRPr="005254EB">
              <w:rPr>
                <w:rFonts w:eastAsia="Times New Roman" w:cstheme="minorHAnsi"/>
              </w:rPr>
              <w:t xml:space="preserve">All sections of the assignment including the Causes and Consequences of Recent Community Bank Failures, operation and protections of three Credit Risk Management Controls, and Future Areas of Concern for the Banking Industry were </w:t>
            </w:r>
            <w:r w:rsidRPr="005254EB">
              <w:rPr>
                <w:rFonts w:eastAsia="Times New Roman" w:cstheme="minorHAnsi"/>
              </w:rPr>
              <w:t>competed</w:t>
            </w:r>
            <w:r w:rsidRPr="005254EB">
              <w:rPr>
                <w:rFonts w:eastAsia="Times New Roman" w:cstheme="minorHAnsi"/>
              </w:rPr>
              <w:t xml:space="preserve"> with appropriate depth and coverage to support the observations in the assignment.  Well Done.</w:t>
            </w:r>
          </w:p>
        </w:tc>
        <w:tc>
          <w:tcPr>
            <w:tcW w:w="1099" w:type="dxa"/>
          </w:tcPr>
          <w:p w14:paraId="5F7CD3A7" w14:textId="7B0A5271" w:rsidR="00CA51A6" w:rsidRPr="00CA51A6" w:rsidRDefault="00CA51A6" w:rsidP="00CA51A6">
            <w:pPr>
              <w:jc w:val="center"/>
              <w:rPr>
                <w:rFonts w:cstheme="minorHAnsi"/>
                <w:color w:val="FF0000"/>
              </w:rPr>
            </w:pPr>
          </w:p>
        </w:tc>
      </w:tr>
      <w:tr w:rsidR="00CA51A6" w:rsidRPr="0074733A" w14:paraId="52542770" w14:textId="77777777" w:rsidTr="005254EB">
        <w:trPr>
          <w:trHeight w:val="1151"/>
        </w:trPr>
        <w:tc>
          <w:tcPr>
            <w:tcW w:w="8801" w:type="dxa"/>
          </w:tcPr>
          <w:p w14:paraId="7212AC43" w14:textId="0A09864D" w:rsidR="00CA51A6" w:rsidRPr="005254EB" w:rsidRDefault="005254EB" w:rsidP="005254EB">
            <w:pPr>
              <w:spacing w:after="160" w:line="259" w:lineRule="auto"/>
            </w:pPr>
            <w:r>
              <w:rPr>
                <w:color w:val="000000"/>
              </w:rPr>
              <w:t xml:space="preserve">The Causes and Consequences of Recent Community Bank Failures portion of the assignment did not have sufficient depth and coverage of the topic to support the observations.  The paper would have benefited from additional discussion and more detailed specifics on this </w:t>
            </w:r>
            <w:proofErr w:type="gramStart"/>
            <w:r>
              <w:rPr>
                <w:color w:val="000000"/>
              </w:rPr>
              <w:t>particular area</w:t>
            </w:r>
            <w:proofErr w:type="gramEnd"/>
            <w:r>
              <w:rPr>
                <w:color w:val="000000"/>
              </w:rPr>
              <w:t>.</w:t>
            </w:r>
          </w:p>
        </w:tc>
        <w:tc>
          <w:tcPr>
            <w:tcW w:w="1099" w:type="dxa"/>
          </w:tcPr>
          <w:p w14:paraId="51676ECA" w14:textId="4F3CD71D" w:rsidR="00CA51A6" w:rsidRPr="00CA51A6" w:rsidRDefault="00CA51A6" w:rsidP="00CA51A6">
            <w:pPr>
              <w:jc w:val="center"/>
              <w:rPr>
                <w:rFonts w:cstheme="minorHAnsi"/>
                <w:color w:val="FF0000"/>
              </w:rPr>
            </w:pPr>
          </w:p>
        </w:tc>
      </w:tr>
      <w:tr w:rsidR="00CA51A6" w:rsidRPr="0074733A" w14:paraId="6FA835EC" w14:textId="77777777" w:rsidTr="005254EB">
        <w:trPr>
          <w:trHeight w:val="1079"/>
        </w:trPr>
        <w:tc>
          <w:tcPr>
            <w:tcW w:w="8801" w:type="dxa"/>
          </w:tcPr>
          <w:p w14:paraId="077E0652" w14:textId="4D3F171B" w:rsidR="00CA51A6" w:rsidRPr="00170E5F" w:rsidRDefault="005254EB" w:rsidP="00CA51A6">
            <w:pPr>
              <w:spacing w:after="160" w:line="259" w:lineRule="auto"/>
              <w:rPr>
                <w:rFonts w:eastAsia="Times New Roman" w:cstheme="minorHAnsi"/>
              </w:rPr>
            </w:pPr>
            <w:r w:rsidRPr="005254EB">
              <w:rPr>
                <w:rFonts w:eastAsia="Times New Roman" w:cstheme="minorHAnsi"/>
              </w:rPr>
              <w:t xml:space="preserve">The operation and protections of three Credit Risk Management Controls portion of the assignment did not have sufficient depth and coverage of the topic to support the observations.  The paper would have benefited from additional discussion and more detailed specifics on this </w:t>
            </w:r>
            <w:proofErr w:type="gramStart"/>
            <w:r w:rsidRPr="005254EB">
              <w:rPr>
                <w:rFonts w:eastAsia="Times New Roman" w:cstheme="minorHAnsi"/>
              </w:rPr>
              <w:t>particular area</w:t>
            </w:r>
            <w:proofErr w:type="gramEnd"/>
            <w:r w:rsidRPr="005254EB">
              <w:rPr>
                <w:rFonts w:eastAsia="Times New Roman" w:cstheme="minorHAnsi"/>
              </w:rPr>
              <w:t xml:space="preserve">.   </w:t>
            </w:r>
          </w:p>
        </w:tc>
        <w:tc>
          <w:tcPr>
            <w:tcW w:w="1099" w:type="dxa"/>
          </w:tcPr>
          <w:p w14:paraId="08C538FB" w14:textId="09ECBA8A" w:rsidR="00CA51A6" w:rsidRPr="00CA51A6" w:rsidRDefault="00CA51A6" w:rsidP="00CA51A6">
            <w:pPr>
              <w:jc w:val="center"/>
              <w:rPr>
                <w:rFonts w:cstheme="minorHAnsi"/>
                <w:color w:val="FF0000"/>
              </w:rPr>
            </w:pPr>
          </w:p>
        </w:tc>
      </w:tr>
      <w:tr w:rsidR="00CA51A6" w:rsidRPr="0074733A" w14:paraId="101BBDBE" w14:textId="77777777" w:rsidTr="00CA51A6">
        <w:tc>
          <w:tcPr>
            <w:tcW w:w="8801" w:type="dxa"/>
          </w:tcPr>
          <w:p w14:paraId="6EE38623" w14:textId="7BD28716" w:rsidR="00CA51A6" w:rsidRPr="00170E5F" w:rsidRDefault="005254EB" w:rsidP="00066881">
            <w:pPr>
              <w:rPr>
                <w:rFonts w:cstheme="minorHAnsi"/>
              </w:rPr>
            </w:pPr>
            <w:r w:rsidRPr="005254EB">
              <w:rPr>
                <w:rFonts w:cstheme="minorHAnsi"/>
              </w:rPr>
              <w:t xml:space="preserve">The Future Areas of Concern for the Banking Industry portion of the assignment did not have sufficient depth and coverage of the topic to support the observations.  The paper would have benefited from additional discussion and more detailed specifics on this </w:t>
            </w:r>
            <w:proofErr w:type="gramStart"/>
            <w:r w:rsidRPr="005254EB">
              <w:rPr>
                <w:rFonts w:cstheme="minorHAnsi"/>
              </w:rPr>
              <w:t>particular area</w:t>
            </w:r>
            <w:proofErr w:type="gramEnd"/>
            <w:r w:rsidRPr="005254EB">
              <w:rPr>
                <w:rFonts w:cstheme="minorHAnsi"/>
              </w:rPr>
              <w:t xml:space="preserve">.   </w:t>
            </w:r>
          </w:p>
        </w:tc>
        <w:tc>
          <w:tcPr>
            <w:tcW w:w="1099" w:type="dxa"/>
          </w:tcPr>
          <w:p w14:paraId="299DEC2B" w14:textId="41FFAC27" w:rsidR="00CA51A6" w:rsidRPr="00CA51A6" w:rsidRDefault="00CA51A6" w:rsidP="00170E5F">
            <w:pPr>
              <w:rPr>
                <w:rFonts w:cstheme="minorHAnsi"/>
                <w:color w:val="FF0000"/>
              </w:rPr>
            </w:pPr>
          </w:p>
        </w:tc>
      </w:tr>
      <w:tr w:rsidR="00CA51A6" w:rsidRPr="0074733A" w14:paraId="50752254" w14:textId="77777777" w:rsidTr="00CA51A6">
        <w:tc>
          <w:tcPr>
            <w:tcW w:w="8801" w:type="dxa"/>
          </w:tcPr>
          <w:p w14:paraId="3727359B" w14:textId="6A307B32" w:rsidR="00CA51A6" w:rsidRPr="00CA51A6" w:rsidRDefault="00CA51A6" w:rsidP="00066881">
            <w:pPr>
              <w:rPr>
                <w:rFonts w:cstheme="minorHAnsi"/>
              </w:rPr>
            </w:pPr>
            <w:r w:rsidRPr="00CA51A6">
              <w:rPr>
                <w:rFonts w:eastAsia="Times New Roman" w:cstheme="minorHAnsi"/>
                <w:color w:val="000000"/>
              </w:rPr>
              <w:t xml:space="preserve">Please refer to specific instructions provided with the assignment and prepare a resubmission as instructed. </w:t>
            </w:r>
          </w:p>
        </w:tc>
        <w:tc>
          <w:tcPr>
            <w:tcW w:w="1099" w:type="dxa"/>
            <w:tcBorders>
              <w:bottom w:val="single" w:sz="24" w:space="0" w:color="auto"/>
            </w:tcBorders>
          </w:tcPr>
          <w:p w14:paraId="764053A5" w14:textId="3CF6B4E2" w:rsidR="00CA51A6" w:rsidRPr="00CA51A6" w:rsidRDefault="00CA51A6" w:rsidP="00CA51A6">
            <w:pPr>
              <w:jc w:val="center"/>
              <w:rPr>
                <w:rFonts w:cstheme="minorHAnsi"/>
                <w:color w:val="FF0000"/>
              </w:rPr>
            </w:pPr>
          </w:p>
        </w:tc>
      </w:tr>
      <w:tr w:rsidR="00CA51A6" w:rsidRPr="0074733A" w14:paraId="5AF85D6C" w14:textId="77777777" w:rsidTr="00CA51A6">
        <w:tc>
          <w:tcPr>
            <w:tcW w:w="8801" w:type="dxa"/>
            <w:tcBorders>
              <w:right w:val="single" w:sz="24" w:space="0" w:color="auto"/>
            </w:tcBorders>
          </w:tcPr>
          <w:p w14:paraId="38B2DAFD" w14:textId="3A80982E" w:rsidR="00CA51A6" w:rsidRPr="00CA51A6" w:rsidRDefault="00CA51A6" w:rsidP="00066881">
            <w:pPr>
              <w:rPr>
                <w:rFonts w:cstheme="minorHAnsi"/>
                <w:b/>
                <w:bCs/>
              </w:rPr>
            </w:pPr>
            <w:r w:rsidRPr="00CA51A6">
              <w:rPr>
                <w:rFonts w:cstheme="minorHAnsi"/>
                <w:b/>
                <w:bCs/>
                <w:color w:val="FF0000"/>
              </w:rPr>
              <w:t>TOTAL DEDUCTIONS</w:t>
            </w:r>
          </w:p>
        </w:tc>
        <w:tc>
          <w:tcPr>
            <w:tcW w:w="1099" w:type="dxa"/>
            <w:tcBorders>
              <w:top w:val="single" w:sz="24" w:space="0" w:color="auto"/>
              <w:left w:val="single" w:sz="24" w:space="0" w:color="auto"/>
              <w:bottom w:val="single" w:sz="24" w:space="0" w:color="auto"/>
              <w:right w:val="single" w:sz="24" w:space="0" w:color="auto"/>
            </w:tcBorders>
          </w:tcPr>
          <w:p w14:paraId="4087FA05" w14:textId="15AB28EA" w:rsidR="00CA51A6" w:rsidRPr="00CA51A6" w:rsidRDefault="00CA51A6" w:rsidP="00CA51A6">
            <w:pPr>
              <w:jc w:val="center"/>
              <w:rPr>
                <w:rFonts w:cstheme="minorHAnsi"/>
                <w:color w:val="FF0000"/>
              </w:rPr>
            </w:pPr>
          </w:p>
        </w:tc>
      </w:tr>
    </w:tbl>
    <w:p w14:paraId="4F56EF79" w14:textId="77777777" w:rsidR="00CA51A6" w:rsidRDefault="00CA51A6" w:rsidP="00CA51A6">
      <w:pPr>
        <w:rPr>
          <w:rFonts w:cstheme="minorHAnsi"/>
          <w:b/>
          <w:bCs/>
        </w:rPr>
      </w:pPr>
    </w:p>
    <w:p w14:paraId="0524D0CE" w14:textId="372631F2" w:rsidR="00CA51A6" w:rsidRPr="00CA51A6" w:rsidRDefault="00CA51A6" w:rsidP="00CA51A6">
      <w:pPr>
        <w:rPr>
          <w:rFonts w:cstheme="minorHAnsi"/>
          <w:b/>
          <w:bCs/>
        </w:rPr>
      </w:pPr>
      <w:r w:rsidRPr="00CA51A6">
        <w:rPr>
          <w:rFonts w:cstheme="minorHAnsi"/>
          <w:b/>
          <w:bCs/>
        </w:rPr>
        <w:t xml:space="preserve">Additional Comments: </w:t>
      </w:r>
    </w:p>
    <w:p w14:paraId="1303B8D8" w14:textId="77777777" w:rsidR="001A6808" w:rsidRDefault="001A6808"/>
    <w:sectPr w:rsidR="001A6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linkToQuery/>
    <w:dataType w:val="native"/>
    <w:connectString w:val="Provider=Microsoft.ACE.OLEDB.12.0;User ID=Admin;Data Source=C:\Users\hhedden\Downloads\higgins grade sheet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hhedden\Downloads\higgins grade sheet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6"/>
    <w:rsid w:val="00170E5F"/>
    <w:rsid w:val="001A6808"/>
    <w:rsid w:val="005254EB"/>
    <w:rsid w:val="006469A2"/>
    <w:rsid w:val="006710DA"/>
    <w:rsid w:val="009737B1"/>
    <w:rsid w:val="009E524C"/>
    <w:rsid w:val="00CA51A6"/>
    <w:rsid w:val="00F1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B579"/>
  <w15:chartTrackingRefBased/>
  <w15:docId w15:val="{E391B334-2542-4A64-B30C-F5590BB7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1133">
      <w:bodyDiv w:val="1"/>
      <w:marLeft w:val="0"/>
      <w:marRight w:val="0"/>
      <w:marTop w:val="0"/>
      <w:marBottom w:val="0"/>
      <w:divBdr>
        <w:top w:val="none" w:sz="0" w:space="0" w:color="auto"/>
        <w:left w:val="none" w:sz="0" w:space="0" w:color="auto"/>
        <w:bottom w:val="none" w:sz="0" w:space="0" w:color="auto"/>
        <w:right w:val="none" w:sz="0" w:space="0" w:color="auto"/>
      </w:divBdr>
    </w:div>
    <w:div w:id="1046028897">
      <w:bodyDiv w:val="1"/>
      <w:marLeft w:val="0"/>
      <w:marRight w:val="0"/>
      <w:marTop w:val="0"/>
      <w:marBottom w:val="0"/>
      <w:divBdr>
        <w:top w:val="none" w:sz="0" w:space="0" w:color="auto"/>
        <w:left w:val="none" w:sz="0" w:space="0" w:color="auto"/>
        <w:bottom w:val="none" w:sz="0" w:space="0" w:color="auto"/>
        <w:right w:val="none" w:sz="0" w:space="0" w:color="auto"/>
      </w:divBdr>
    </w:div>
    <w:div w:id="14902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hhedden\Downloads\higgins%20grade%20sheets.xlsx" TargetMode="External"/><Relationship Id="rId1" Type="http://schemas.openxmlformats.org/officeDocument/2006/relationships/mailMergeSource" Target="file:///C:\Users\hhedden\Downloads\higgins%20grade%20shee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D0CDAF090A4549A6F925FC2B1907F2" ma:contentTypeVersion="13" ma:contentTypeDescription="Create a new document." ma:contentTypeScope="" ma:versionID="2050caa89ee8f01e7e2845cb68c57b37">
  <xsd:schema xmlns:xsd="http://www.w3.org/2001/XMLSchema" xmlns:xs="http://www.w3.org/2001/XMLSchema" xmlns:p="http://schemas.microsoft.com/office/2006/metadata/properties" xmlns:ns2="b25f80d1-9885-4414-8e54-e12925a19633" xmlns:ns3="1ff4ad11-8a41-4b21-9f50-7edc0facd5e6" targetNamespace="http://schemas.microsoft.com/office/2006/metadata/properties" ma:root="true" ma:fieldsID="d57303ae592395e5103c151378e2f41d" ns2:_="" ns3:_="">
    <xsd:import namespace="b25f80d1-9885-4414-8e54-e12925a19633"/>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f80d1-9885-4414-8e54-e12925a1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f3bacd-1215-4c05-bbf0-96537a33fb7a}"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f80d1-9885-4414-8e54-e12925a19633">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12EE3532-4D89-4A75-9037-70FDAC668B0A}">
  <ds:schemaRefs>
    <ds:schemaRef ds:uri="http://schemas.microsoft.com/sharepoint/v3/contenttype/forms"/>
  </ds:schemaRefs>
</ds:datastoreItem>
</file>

<file path=customXml/itemProps2.xml><?xml version="1.0" encoding="utf-8"?>
<ds:datastoreItem xmlns:ds="http://schemas.openxmlformats.org/officeDocument/2006/customXml" ds:itemID="{F1E66037-C906-4115-B671-DFFEA3F1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f80d1-9885-4414-8e54-e12925a19633"/>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C43AF-3B7C-4D17-8E29-CCF48D59C190}">
  <ds:schemaRefs>
    <ds:schemaRef ds:uri="http://schemas.microsoft.com/office/2006/metadata/properties"/>
    <ds:schemaRef ds:uri="http://schemas.microsoft.com/office/infopath/2007/PartnerControls"/>
    <ds:schemaRef ds:uri="b25f80d1-9885-4414-8e54-e12925a19633"/>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Reid</dc:creator>
  <cp:keywords/>
  <dc:description/>
  <cp:lastModifiedBy>Hannah Hedden</cp:lastModifiedBy>
  <cp:revision>2</cp:revision>
  <dcterms:created xsi:type="dcterms:W3CDTF">2023-02-21T17:22:00Z</dcterms:created>
  <dcterms:modified xsi:type="dcterms:W3CDTF">2023-02-21T17:22:00Z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0x010100C7D0CDAF090A4549A6F925FC2B1907F2</vt:lpwstr>
  </property>
  <property fmtid="{D5CDD505-2E9C-101B-9397-08002B2CF9AE}" pid="3" name="MediaServiceImageTags">
    <vt:lpwstr/>
  </property>
</Properties>
</file>