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B662" w14:textId="77777777" w:rsidR="00DF3B75" w:rsidRPr="00E56AF4" w:rsidRDefault="000440F3" w:rsidP="00E15F08">
      <w:pPr>
        <w:spacing w:before="75"/>
        <w:jc w:val="center"/>
        <w:rPr>
          <w:rFonts w:ascii="Arial" w:hAnsi="Arial" w:cs="Arial"/>
          <w:b/>
          <w:sz w:val="24"/>
          <w:szCs w:val="24"/>
        </w:rPr>
      </w:pPr>
      <w:bookmarkStart w:id="0" w:name="_GoBack"/>
      <w:bookmarkEnd w:id="0"/>
      <w:r w:rsidRPr="000440F3">
        <w:rPr>
          <w:rFonts w:ascii="Arial" w:hAnsi="Arial" w:cs="Arial"/>
          <w:b/>
          <w:i/>
          <w:sz w:val="24"/>
          <w:szCs w:val="24"/>
        </w:rPr>
        <w:t>FICTIONAL</w:t>
      </w:r>
      <w:r>
        <w:rPr>
          <w:rFonts w:ascii="Arial" w:hAnsi="Arial" w:cs="Arial"/>
          <w:b/>
          <w:sz w:val="24"/>
          <w:szCs w:val="24"/>
        </w:rPr>
        <w:t xml:space="preserve"> </w:t>
      </w:r>
      <w:r w:rsidR="00DF3B75" w:rsidRPr="00E56AF4">
        <w:rPr>
          <w:rFonts w:ascii="Arial" w:hAnsi="Arial" w:cs="Arial"/>
          <w:b/>
          <w:sz w:val="24"/>
          <w:szCs w:val="24"/>
        </w:rPr>
        <w:t>Material Loss Review – ABC Bank</w:t>
      </w:r>
    </w:p>
    <w:p w14:paraId="6D23BCDE" w14:textId="77777777" w:rsidR="00DF3B75" w:rsidRPr="00E56AF4" w:rsidRDefault="00DF3B75" w:rsidP="00DF3B75">
      <w:pPr>
        <w:pStyle w:val="BodyText"/>
        <w:spacing w:before="8"/>
        <w:rPr>
          <w:rFonts w:ascii="Arial" w:hAnsi="Arial" w:cs="Arial"/>
        </w:rPr>
      </w:pPr>
    </w:p>
    <w:p w14:paraId="0F1186BD" w14:textId="77777777" w:rsidR="00DF3B75" w:rsidRPr="00E56AF4" w:rsidRDefault="00DF3B75" w:rsidP="00DF3B75">
      <w:pPr>
        <w:pStyle w:val="Heading1"/>
        <w:spacing w:before="0"/>
        <w:ind w:left="720"/>
        <w:rPr>
          <w:sz w:val="24"/>
          <w:szCs w:val="24"/>
        </w:rPr>
      </w:pPr>
      <w:r w:rsidRPr="00E56AF4">
        <w:rPr>
          <w:sz w:val="24"/>
          <w:szCs w:val="24"/>
        </w:rPr>
        <w:t>Background</w:t>
      </w:r>
    </w:p>
    <w:p w14:paraId="2E6ABE54" w14:textId="77777777" w:rsidR="00DF3B75" w:rsidRPr="00E56AF4" w:rsidRDefault="00DF3B75" w:rsidP="00DF3B75">
      <w:pPr>
        <w:pStyle w:val="BodyText"/>
        <w:spacing w:before="8"/>
        <w:rPr>
          <w:rFonts w:ascii="Arial" w:hAnsi="Arial" w:cs="Arial"/>
        </w:rPr>
      </w:pPr>
    </w:p>
    <w:p w14:paraId="501462CC" w14:textId="77777777" w:rsidR="00DF3B75" w:rsidRPr="00E56AF4" w:rsidRDefault="00DF3B75" w:rsidP="00DF3B75">
      <w:pPr>
        <w:pStyle w:val="BodyText"/>
        <w:spacing w:line="276" w:lineRule="auto"/>
        <w:ind w:left="719" w:right="1210"/>
        <w:rPr>
          <w:rFonts w:ascii="Arial" w:hAnsi="Arial" w:cs="Arial"/>
        </w:rPr>
      </w:pPr>
      <w:r w:rsidRPr="00E56AF4">
        <w:rPr>
          <w:rFonts w:ascii="Arial" w:hAnsi="Arial" w:cs="Arial"/>
        </w:rPr>
        <w:t xml:space="preserve">Established in the 1960’s, ABC was a commercial bank based in Anywhere USA.  </w:t>
      </w:r>
      <w:r w:rsidR="000440F3">
        <w:rPr>
          <w:rFonts w:ascii="Arial" w:hAnsi="Arial" w:cs="Arial"/>
        </w:rPr>
        <w:t>The institution maintained eight</w:t>
      </w:r>
      <w:r w:rsidRPr="00E56AF4">
        <w:rPr>
          <w:rFonts w:ascii="Arial" w:hAnsi="Arial" w:cs="Arial"/>
        </w:rPr>
        <w:t xml:space="preserve"> branches in its primary market area. The bank was wholly owned by a one-bank holding company.</w:t>
      </w:r>
    </w:p>
    <w:p w14:paraId="391F147C" w14:textId="77777777" w:rsidR="00DF3B75" w:rsidRPr="00E56AF4" w:rsidRDefault="00DF3B75" w:rsidP="00DF3B75">
      <w:pPr>
        <w:pStyle w:val="BodyText"/>
        <w:spacing w:before="6"/>
        <w:rPr>
          <w:rFonts w:ascii="Arial" w:hAnsi="Arial" w:cs="Arial"/>
        </w:rPr>
      </w:pPr>
    </w:p>
    <w:p w14:paraId="7861B3DB" w14:textId="0918FD5E" w:rsidR="00DF3B75" w:rsidRPr="00E56AF4" w:rsidRDefault="00DF3B75" w:rsidP="00DF3B75">
      <w:pPr>
        <w:pStyle w:val="BodyText"/>
        <w:spacing w:before="74" w:line="276" w:lineRule="auto"/>
        <w:ind w:left="720" w:right="1210"/>
        <w:rPr>
          <w:rFonts w:ascii="Arial" w:hAnsi="Arial" w:cs="Arial"/>
        </w:rPr>
      </w:pPr>
      <w:r w:rsidRPr="00E56AF4">
        <w:rPr>
          <w:rFonts w:ascii="Arial" w:hAnsi="Arial" w:cs="Arial"/>
        </w:rPr>
        <w:t xml:space="preserve">The of state of Anywhere experienced a number </w:t>
      </w:r>
      <w:r w:rsidR="00E44560" w:rsidRPr="00E56AF4">
        <w:rPr>
          <w:rFonts w:ascii="Arial" w:hAnsi="Arial" w:cs="Arial"/>
        </w:rPr>
        <w:t>of bank</w:t>
      </w:r>
      <w:r w:rsidRPr="00E56AF4">
        <w:rPr>
          <w:rFonts w:ascii="Arial" w:hAnsi="Arial" w:cs="Arial"/>
        </w:rPr>
        <w:t xml:space="preserve"> failures from the beginning of 2008 through 2012. The number of</w:t>
      </w:r>
      <w:r w:rsidR="004333B7">
        <w:rPr>
          <w:rFonts w:ascii="Arial" w:hAnsi="Arial" w:cs="Arial"/>
        </w:rPr>
        <w:t xml:space="preserve"> failures was related to declines in real estate values, excessive supply of housing, and the </w:t>
      </w:r>
      <w:r w:rsidRPr="00E56AF4">
        <w:rPr>
          <w:rFonts w:ascii="Arial" w:hAnsi="Arial" w:cs="Arial"/>
        </w:rPr>
        <w:t xml:space="preserve">unemployment rate. The deterioration in the Anywhere real estate market had a particularly hard impact on banks with significant exposure to </w:t>
      </w:r>
      <w:r w:rsidR="000440F3">
        <w:rPr>
          <w:rFonts w:ascii="Arial" w:hAnsi="Arial" w:cs="Arial"/>
        </w:rPr>
        <w:t>real estate lending</w:t>
      </w:r>
      <w:r w:rsidRPr="00E56AF4">
        <w:rPr>
          <w:rFonts w:ascii="Arial" w:hAnsi="Arial" w:cs="Arial"/>
        </w:rPr>
        <w:t xml:space="preserve">. After peaking in April 2007, </w:t>
      </w:r>
      <w:r w:rsidR="000440F3">
        <w:rPr>
          <w:rFonts w:ascii="Arial" w:hAnsi="Arial" w:cs="Arial"/>
        </w:rPr>
        <w:t xml:space="preserve">average </w:t>
      </w:r>
      <w:r w:rsidRPr="00E56AF4">
        <w:rPr>
          <w:rFonts w:ascii="Arial" w:hAnsi="Arial" w:cs="Arial"/>
        </w:rPr>
        <w:t>home pric</w:t>
      </w:r>
      <w:r w:rsidR="009539AD">
        <w:rPr>
          <w:rFonts w:ascii="Arial" w:hAnsi="Arial" w:cs="Arial"/>
        </w:rPr>
        <w:t>es in Anywhere had fa</w:t>
      </w:r>
      <w:r w:rsidR="000440F3">
        <w:rPr>
          <w:rFonts w:ascii="Arial" w:hAnsi="Arial" w:cs="Arial"/>
        </w:rPr>
        <w:t>llen by &gt;</w:t>
      </w:r>
      <w:r w:rsidR="00347F93">
        <w:rPr>
          <w:rFonts w:ascii="Arial" w:hAnsi="Arial" w:cs="Arial"/>
        </w:rPr>
        <w:t>2</w:t>
      </w:r>
      <w:r w:rsidR="000440F3">
        <w:rPr>
          <w:rFonts w:ascii="Arial" w:hAnsi="Arial" w:cs="Arial"/>
        </w:rPr>
        <w:t>5 percent through 2013</w:t>
      </w:r>
      <w:r w:rsidRPr="00E56AF4">
        <w:rPr>
          <w:rFonts w:ascii="Arial" w:hAnsi="Arial" w:cs="Arial"/>
        </w:rPr>
        <w:t xml:space="preserve">. </w:t>
      </w:r>
    </w:p>
    <w:p w14:paraId="573DDE74" w14:textId="77777777" w:rsidR="00DF3B75" w:rsidRPr="00E56AF4" w:rsidRDefault="00DF3B75" w:rsidP="00DF3B75">
      <w:pPr>
        <w:pStyle w:val="BodyText"/>
        <w:spacing w:before="7"/>
        <w:rPr>
          <w:rFonts w:ascii="Arial" w:hAnsi="Arial" w:cs="Arial"/>
        </w:rPr>
      </w:pPr>
    </w:p>
    <w:p w14:paraId="7B8BF8C1" w14:textId="77777777" w:rsidR="00DF3B75" w:rsidRPr="00E56AF4" w:rsidRDefault="00DF3B75" w:rsidP="009539AD">
      <w:pPr>
        <w:pStyle w:val="BodyText"/>
        <w:spacing w:before="1" w:line="276" w:lineRule="auto"/>
        <w:ind w:left="719" w:right="1323"/>
        <w:rPr>
          <w:rFonts w:ascii="Arial" w:hAnsi="Arial" w:cs="Arial"/>
        </w:rPr>
      </w:pPr>
      <w:r w:rsidRPr="00E56AF4">
        <w:rPr>
          <w:rFonts w:ascii="Arial" w:hAnsi="Arial" w:cs="Arial"/>
        </w:rPr>
        <w:t xml:space="preserve">ABC’s lending strategy focused primarily on Commercial Real Estate (CRE), particularly residential acquisition, development, and construction (ADC) </w:t>
      </w:r>
      <w:r w:rsidR="000440F3">
        <w:rPr>
          <w:rFonts w:ascii="Arial" w:hAnsi="Arial" w:cs="Arial"/>
        </w:rPr>
        <w:t>projects</w:t>
      </w:r>
      <w:r w:rsidRPr="00E56AF4">
        <w:rPr>
          <w:rFonts w:ascii="Arial" w:hAnsi="Arial" w:cs="Arial"/>
        </w:rPr>
        <w:t>. Specif</w:t>
      </w:r>
      <w:r w:rsidR="000440F3">
        <w:rPr>
          <w:rFonts w:ascii="Arial" w:hAnsi="Arial" w:cs="Arial"/>
        </w:rPr>
        <w:t>ically, during the mid-2000’s</w:t>
      </w:r>
      <w:r w:rsidRPr="00E56AF4">
        <w:rPr>
          <w:rFonts w:ascii="Arial" w:hAnsi="Arial" w:cs="Arial"/>
        </w:rPr>
        <w:t xml:space="preserve"> the bank had CRE and </w:t>
      </w:r>
      <w:r w:rsidR="00E44560" w:rsidRPr="00E56AF4">
        <w:rPr>
          <w:rFonts w:ascii="Arial" w:hAnsi="Arial" w:cs="Arial"/>
        </w:rPr>
        <w:t>ADC levels</w:t>
      </w:r>
      <w:r w:rsidRPr="00E56AF4">
        <w:rPr>
          <w:rFonts w:ascii="Arial" w:hAnsi="Arial" w:cs="Arial"/>
        </w:rPr>
        <w:t xml:space="preserve"> of &gt;400% and &gt;200% percent of total capital, respectively. These CRE and ADC concentrations levels</w:t>
      </w:r>
      <w:r w:rsidR="009539AD">
        <w:rPr>
          <w:rFonts w:ascii="Arial" w:hAnsi="Arial" w:cs="Arial"/>
        </w:rPr>
        <w:t xml:space="preserve"> </w:t>
      </w:r>
      <w:r w:rsidRPr="00E56AF4">
        <w:rPr>
          <w:rFonts w:ascii="Arial" w:hAnsi="Arial" w:cs="Arial"/>
        </w:rPr>
        <w:t>increased significantly during the late 2000’s.  These concentrations made up the vast majority of ABC’s loan portfolio in the years preceding its failure.</w:t>
      </w:r>
    </w:p>
    <w:p w14:paraId="43D3048A" w14:textId="77777777" w:rsidR="00DF3B75" w:rsidRPr="00E56AF4" w:rsidRDefault="00DF3B75" w:rsidP="00DF3B75">
      <w:pPr>
        <w:pStyle w:val="BodyText"/>
        <w:spacing w:line="276" w:lineRule="auto"/>
        <w:ind w:left="719" w:right="1157"/>
        <w:rPr>
          <w:rFonts w:ascii="Arial" w:hAnsi="Arial" w:cs="Arial"/>
        </w:rPr>
      </w:pPr>
    </w:p>
    <w:p w14:paraId="78FABAE2" w14:textId="35736285" w:rsidR="00DF3B75" w:rsidRPr="00E56AF4" w:rsidRDefault="00DF3B75" w:rsidP="000D3032">
      <w:pPr>
        <w:pStyle w:val="BodyText"/>
        <w:spacing w:line="276" w:lineRule="auto"/>
        <w:ind w:left="719" w:right="1157"/>
        <w:rPr>
          <w:rFonts w:ascii="Arial" w:hAnsi="Arial" w:cs="Arial"/>
        </w:rPr>
      </w:pPr>
      <w:r w:rsidRPr="00E56AF4">
        <w:rPr>
          <w:rFonts w:ascii="Arial" w:hAnsi="Arial" w:cs="Arial"/>
        </w:rPr>
        <w:t xml:space="preserve">At the time of </w:t>
      </w:r>
      <w:r w:rsidR="000440F3">
        <w:rPr>
          <w:rFonts w:ascii="Arial" w:hAnsi="Arial" w:cs="Arial"/>
        </w:rPr>
        <w:t xml:space="preserve">the Bank’s </w:t>
      </w:r>
      <w:r w:rsidRPr="00E56AF4">
        <w:rPr>
          <w:rFonts w:ascii="Arial" w:hAnsi="Arial" w:cs="Arial"/>
        </w:rPr>
        <w:t>closing, ABC had assets of</w:t>
      </w:r>
      <w:r w:rsidR="00E44560">
        <w:rPr>
          <w:rFonts w:ascii="Arial" w:hAnsi="Arial" w:cs="Arial"/>
        </w:rPr>
        <w:t xml:space="preserve"> </w:t>
      </w:r>
      <w:r w:rsidRPr="00E56AF4">
        <w:rPr>
          <w:rFonts w:ascii="Arial" w:hAnsi="Arial" w:cs="Arial"/>
        </w:rPr>
        <w:t>$600,000,</w:t>
      </w:r>
      <w:r w:rsidR="00347F93">
        <w:rPr>
          <w:rFonts w:ascii="Arial" w:hAnsi="Arial" w:cs="Arial"/>
        </w:rPr>
        <w:t xml:space="preserve">000 </w:t>
      </w:r>
      <w:r w:rsidRPr="00E56AF4">
        <w:rPr>
          <w:rFonts w:ascii="Arial" w:hAnsi="Arial" w:cs="Arial"/>
        </w:rPr>
        <w:t>total loans of $350,000,</w:t>
      </w:r>
      <w:r w:rsidR="00347F93">
        <w:rPr>
          <w:rFonts w:ascii="Arial" w:hAnsi="Arial" w:cs="Arial"/>
        </w:rPr>
        <w:t>000</w:t>
      </w:r>
      <w:r w:rsidRPr="00E56AF4">
        <w:rPr>
          <w:rFonts w:ascii="Arial" w:hAnsi="Arial" w:cs="Arial"/>
        </w:rPr>
        <w:t xml:space="preserve"> deposit</w:t>
      </w:r>
      <w:r w:rsidR="004333B7">
        <w:rPr>
          <w:rFonts w:ascii="Arial" w:hAnsi="Arial" w:cs="Arial"/>
        </w:rPr>
        <w:t>s of $500,000,</w:t>
      </w:r>
      <w:r w:rsidR="00347F93">
        <w:rPr>
          <w:rFonts w:ascii="Arial" w:hAnsi="Arial" w:cs="Arial"/>
        </w:rPr>
        <w:t>000</w:t>
      </w:r>
      <w:r w:rsidR="004333B7">
        <w:rPr>
          <w:rFonts w:ascii="Arial" w:hAnsi="Arial" w:cs="Arial"/>
        </w:rPr>
        <w:t xml:space="preserve"> </w:t>
      </w:r>
      <w:r w:rsidRPr="00E56AF4">
        <w:rPr>
          <w:rFonts w:ascii="Arial" w:hAnsi="Arial" w:cs="Arial"/>
        </w:rPr>
        <w:t xml:space="preserve">ROA of -2.01%, net interest margin of 2.09%, noncurrent loans (% of total loans) of 27.5%, CRE loan as a % of total capital 1,500%.  </w:t>
      </w:r>
    </w:p>
    <w:p w14:paraId="45E05D92" w14:textId="77777777" w:rsidR="00DF3B75" w:rsidRPr="00E56AF4" w:rsidRDefault="00DF3B75" w:rsidP="00DF3B75">
      <w:pPr>
        <w:pStyle w:val="BodyText"/>
        <w:spacing w:before="7"/>
        <w:rPr>
          <w:rFonts w:ascii="Arial" w:hAnsi="Arial" w:cs="Arial"/>
        </w:rPr>
      </w:pPr>
    </w:p>
    <w:p w14:paraId="4B72926A" w14:textId="77777777" w:rsidR="00DF3B75" w:rsidRPr="00E56AF4" w:rsidRDefault="00DF3B75" w:rsidP="00DF3B75">
      <w:pPr>
        <w:pStyle w:val="Heading1"/>
        <w:spacing w:before="0"/>
        <w:ind w:left="720"/>
        <w:rPr>
          <w:sz w:val="24"/>
          <w:szCs w:val="24"/>
        </w:rPr>
      </w:pPr>
      <w:r w:rsidRPr="00E56AF4">
        <w:rPr>
          <w:sz w:val="24"/>
          <w:szCs w:val="24"/>
        </w:rPr>
        <w:t>Causes of Failure</w:t>
      </w:r>
    </w:p>
    <w:p w14:paraId="0567C753" w14:textId="77777777" w:rsidR="00DF3B75" w:rsidRPr="00E56AF4" w:rsidRDefault="00DF3B75" w:rsidP="00DF3B75">
      <w:pPr>
        <w:pStyle w:val="BodyText"/>
        <w:spacing w:before="7"/>
        <w:rPr>
          <w:rFonts w:ascii="Arial" w:hAnsi="Arial" w:cs="Arial"/>
        </w:rPr>
      </w:pPr>
    </w:p>
    <w:p w14:paraId="79567452" w14:textId="0925BF6B" w:rsidR="00DF3B75" w:rsidRPr="00E56AF4" w:rsidRDefault="00DF3B75" w:rsidP="009539AD">
      <w:pPr>
        <w:pStyle w:val="BodyText"/>
        <w:spacing w:before="1" w:line="276" w:lineRule="auto"/>
        <w:ind w:left="720" w:right="1129"/>
        <w:rPr>
          <w:rFonts w:ascii="Arial" w:hAnsi="Arial" w:cs="Arial"/>
        </w:rPr>
      </w:pPr>
      <w:r w:rsidRPr="00E56AF4">
        <w:rPr>
          <w:rFonts w:ascii="Arial" w:hAnsi="Arial" w:cs="Arial"/>
        </w:rPr>
        <w:t>ABC failed primarily becaus</w:t>
      </w:r>
      <w:r w:rsidR="00AC1A61">
        <w:rPr>
          <w:rFonts w:ascii="Arial" w:hAnsi="Arial" w:cs="Arial"/>
        </w:rPr>
        <w:t>e the company</w:t>
      </w:r>
      <w:r w:rsidRPr="00E56AF4">
        <w:rPr>
          <w:rFonts w:ascii="Arial" w:hAnsi="Arial" w:cs="Arial"/>
        </w:rPr>
        <w:t xml:space="preserve"> did not effectively manage the risks associated with the bank’s heavy concentrations in CRE and ADC loans.</w:t>
      </w:r>
      <w:r w:rsidR="009539AD">
        <w:rPr>
          <w:rFonts w:ascii="Arial" w:hAnsi="Arial" w:cs="Arial"/>
        </w:rPr>
        <w:t xml:space="preserve">  </w:t>
      </w:r>
      <w:r w:rsidR="00207CB3">
        <w:rPr>
          <w:rFonts w:ascii="Arial" w:hAnsi="Arial" w:cs="Arial"/>
        </w:rPr>
        <w:t>T</w:t>
      </w:r>
      <w:r w:rsidRPr="00E56AF4">
        <w:rPr>
          <w:rFonts w:ascii="Arial" w:hAnsi="Arial" w:cs="Arial"/>
        </w:rPr>
        <w:t xml:space="preserve">he </w:t>
      </w:r>
      <w:r w:rsidR="00207CB3">
        <w:rPr>
          <w:rFonts w:ascii="Arial" w:hAnsi="Arial" w:cs="Arial"/>
        </w:rPr>
        <w:t>Company did not enforce</w:t>
      </w:r>
      <w:r w:rsidRPr="00E56AF4">
        <w:rPr>
          <w:rFonts w:ascii="Arial" w:hAnsi="Arial" w:cs="Arial"/>
        </w:rPr>
        <w:t xml:space="preserve"> prudent ADC loan concentration limits or maintain capital at</w:t>
      </w:r>
      <w:r w:rsidR="00207CB3">
        <w:rPr>
          <w:rFonts w:ascii="Arial" w:hAnsi="Arial" w:cs="Arial"/>
        </w:rPr>
        <w:t xml:space="preserve"> adequate levels. Established </w:t>
      </w:r>
      <w:r w:rsidRPr="00E56AF4">
        <w:rPr>
          <w:rFonts w:ascii="Arial" w:hAnsi="Arial" w:cs="Arial"/>
        </w:rPr>
        <w:t xml:space="preserve">lending practices also contributed to the asset quality problems that developed when economic conditions in ABC’s lending markets </w:t>
      </w:r>
      <w:r w:rsidR="00207CB3">
        <w:rPr>
          <w:rFonts w:ascii="Arial" w:hAnsi="Arial" w:cs="Arial"/>
        </w:rPr>
        <w:t xml:space="preserve">deteriorated. Also, the company </w:t>
      </w:r>
      <w:r w:rsidRPr="00E56AF4">
        <w:rPr>
          <w:rFonts w:ascii="Arial" w:hAnsi="Arial" w:cs="Arial"/>
        </w:rPr>
        <w:t>was slow to rec</w:t>
      </w:r>
      <w:r w:rsidR="00207CB3">
        <w:rPr>
          <w:rFonts w:ascii="Arial" w:hAnsi="Arial" w:cs="Arial"/>
        </w:rPr>
        <w:t xml:space="preserve">ognize the deterioration in the </w:t>
      </w:r>
      <w:r w:rsidRPr="00E56AF4">
        <w:rPr>
          <w:rFonts w:ascii="Arial" w:hAnsi="Arial" w:cs="Arial"/>
        </w:rPr>
        <w:t xml:space="preserve">loan portfolio and was unable to successfully </w:t>
      </w:r>
      <w:r w:rsidRPr="00E56AF4">
        <w:rPr>
          <w:rFonts w:ascii="Arial" w:hAnsi="Arial" w:cs="Arial"/>
        </w:rPr>
        <w:lastRenderedPageBreak/>
        <w:t xml:space="preserve">address the </w:t>
      </w:r>
      <w:r w:rsidR="00207CB3">
        <w:rPr>
          <w:rFonts w:ascii="Arial" w:hAnsi="Arial" w:cs="Arial"/>
        </w:rPr>
        <w:t xml:space="preserve">depth and breadth of </w:t>
      </w:r>
      <w:r w:rsidRPr="00E56AF4">
        <w:rPr>
          <w:rFonts w:ascii="Arial" w:hAnsi="Arial" w:cs="Arial"/>
        </w:rPr>
        <w:t>financial problems.</w:t>
      </w:r>
    </w:p>
    <w:p w14:paraId="04B95E56" w14:textId="77777777" w:rsidR="00DF3B75" w:rsidRPr="00E56AF4" w:rsidRDefault="00DF3B75" w:rsidP="00DF3B75">
      <w:pPr>
        <w:pStyle w:val="BodyText"/>
        <w:spacing w:before="5"/>
        <w:rPr>
          <w:rFonts w:ascii="Arial" w:hAnsi="Arial" w:cs="Arial"/>
        </w:rPr>
      </w:pPr>
    </w:p>
    <w:p w14:paraId="5664B620" w14:textId="2CC6DEED" w:rsidR="00DF3B75" w:rsidRDefault="00DF3B75" w:rsidP="00DF3B75">
      <w:pPr>
        <w:pStyle w:val="BodyText"/>
        <w:spacing w:line="276" w:lineRule="auto"/>
        <w:ind w:left="720" w:right="1059"/>
        <w:rPr>
          <w:rFonts w:ascii="Arial" w:hAnsi="Arial" w:cs="Arial"/>
        </w:rPr>
      </w:pPr>
      <w:r w:rsidRPr="00E56AF4">
        <w:rPr>
          <w:rFonts w:ascii="Arial" w:hAnsi="Arial" w:cs="Arial"/>
        </w:rPr>
        <w:t>ABC’s significant exposure to ADC loans</w:t>
      </w:r>
      <w:r w:rsidR="004333B7">
        <w:rPr>
          <w:rFonts w:ascii="Arial" w:hAnsi="Arial" w:cs="Arial"/>
        </w:rPr>
        <w:t xml:space="preserve"> and risk management practices</w:t>
      </w:r>
      <w:r w:rsidR="00207CB3">
        <w:rPr>
          <w:rFonts w:ascii="Arial" w:hAnsi="Arial" w:cs="Arial"/>
        </w:rPr>
        <w:t xml:space="preserve"> </w:t>
      </w:r>
      <w:r w:rsidRPr="00E56AF4">
        <w:rPr>
          <w:rFonts w:ascii="Arial" w:hAnsi="Arial" w:cs="Arial"/>
        </w:rPr>
        <w:t>made the institution vulnerable to a sus</w:t>
      </w:r>
      <w:r w:rsidR="00207CB3">
        <w:rPr>
          <w:rFonts w:ascii="Arial" w:hAnsi="Arial" w:cs="Arial"/>
        </w:rPr>
        <w:t xml:space="preserve">tained downturn in the </w:t>
      </w:r>
      <w:r w:rsidRPr="00E56AF4">
        <w:rPr>
          <w:rFonts w:ascii="Arial" w:hAnsi="Arial" w:cs="Arial"/>
        </w:rPr>
        <w:t>real estate market. In late 2008, conditions in ABC’s primary lending areas began to deteriorate, resulting in a decline in the quality of the bank’s loan portfolio. Much of the deterioration in the loan portfolio was centered in ADC loans. ABC’s financial condition continued to deteriorate between 2009 and 2012. The associated provisions for loan losses depleted ABC’s earnings, eroded its capital, and strained its liquidity</w:t>
      </w:r>
      <w:r w:rsidR="00207CB3">
        <w:rPr>
          <w:rFonts w:ascii="Arial" w:hAnsi="Arial" w:cs="Arial"/>
        </w:rPr>
        <w:t>.</w:t>
      </w:r>
    </w:p>
    <w:p w14:paraId="07542AF8" w14:textId="77777777" w:rsidR="00DF3B75" w:rsidRPr="00E56AF4" w:rsidRDefault="00DF3B75" w:rsidP="000D3032">
      <w:pPr>
        <w:pStyle w:val="BodyText"/>
        <w:spacing w:line="276" w:lineRule="auto"/>
        <w:ind w:right="1059"/>
        <w:rPr>
          <w:rFonts w:ascii="Arial" w:hAnsi="Arial" w:cs="Arial"/>
        </w:rPr>
      </w:pPr>
    </w:p>
    <w:p w14:paraId="4301196D" w14:textId="77777777" w:rsidR="00DF3B75" w:rsidRPr="00E56AF4" w:rsidRDefault="00DF3B75" w:rsidP="00DF3B75">
      <w:pPr>
        <w:spacing w:before="75"/>
        <w:ind w:firstLine="720"/>
        <w:rPr>
          <w:rFonts w:ascii="Arial" w:hAnsi="Arial" w:cs="Arial"/>
          <w:b/>
          <w:sz w:val="24"/>
          <w:szCs w:val="24"/>
        </w:rPr>
      </w:pPr>
      <w:r w:rsidRPr="00E56AF4">
        <w:rPr>
          <w:rFonts w:ascii="Arial" w:hAnsi="Arial" w:cs="Arial"/>
          <w:b/>
          <w:sz w:val="24"/>
          <w:szCs w:val="24"/>
        </w:rPr>
        <w:t>Concentrations in ADC Loans</w:t>
      </w:r>
    </w:p>
    <w:p w14:paraId="1C394051" w14:textId="77777777" w:rsidR="00DF3B75" w:rsidRPr="00E56AF4" w:rsidRDefault="00DF3B75" w:rsidP="00DF3B75">
      <w:pPr>
        <w:pStyle w:val="BodyText"/>
        <w:spacing w:before="8"/>
        <w:rPr>
          <w:rFonts w:ascii="Arial" w:hAnsi="Arial" w:cs="Arial"/>
        </w:rPr>
      </w:pPr>
    </w:p>
    <w:p w14:paraId="5B653579" w14:textId="467444AF" w:rsidR="00DF3B75" w:rsidRPr="00E56AF4" w:rsidRDefault="00DF3B75" w:rsidP="00DF3B75">
      <w:pPr>
        <w:pStyle w:val="BodyText"/>
        <w:spacing w:line="276" w:lineRule="auto"/>
        <w:ind w:left="720" w:right="1210"/>
        <w:rPr>
          <w:rFonts w:ascii="Arial" w:hAnsi="Arial" w:cs="Arial"/>
        </w:rPr>
      </w:pPr>
      <w:r w:rsidRPr="00E56AF4">
        <w:rPr>
          <w:rFonts w:ascii="Arial" w:hAnsi="Arial" w:cs="Arial"/>
        </w:rPr>
        <w:t>ABC maintained a large concentration in CRE &amp; ADC loans throughout its history. The bank increased its ADC lending activities in response to a strong real estate market in the market a</w:t>
      </w:r>
      <w:r w:rsidR="000440F3">
        <w:rPr>
          <w:rFonts w:ascii="Arial" w:hAnsi="Arial" w:cs="Arial"/>
        </w:rPr>
        <w:t>rea. Howe</w:t>
      </w:r>
      <w:r w:rsidR="004333B7">
        <w:rPr>
          <w:rFonts w:ascii="Arial" w:hAnsi="Arial" w:cs="Arial"/>
        </w:rPr>
        <w:t xml:space="preserve">ver, </w:t>
      </w:r>
      <w:r w:rsidR="00207CB3">
        <w:rPr>
          <w:rFonts w:ascii="Arial" w:hAnsi="Arial" w:cs="Arial"/>
        </w:rPr>
        <w:t xml:space="preserve">the company </w:t>
      </w:r>
      <w:r w:rsidRPr="00E56AF4">
        <w:rPr>
          <w:rFonts w:ascii="Arial" w:hAnsi="Arial" w:cs="Arial"/>
        </w:rPr>
        <w:t xml:space="preserve">did not effectively manage the risks associated with the institution’s significant </w:t>
      </w:r>
      <w:r w:rsidR="000440F3">
        <w:rPr>
          <w:rFonts w:ascii="Arial" w:hAnsi="Arial" w:cs="Arial"/>
        </w:rPr>
        <w:t>loan concentrations</w:t>
      </w:r>
      <w:r w:rsidRPr="00E56AF4">
        <w:rPr>
          <w:rFonts w:ascii="Arial" w:hAnsi="Arial" w:cs="Arial"/>
        </w:rPr>
        <w:t>.</w:t>
      </w:r>
    </w:p>
    <w:p w14:paraId="54C138D3" w14:textId="77777777" w:rsidR="00DF3B75" w:rsidRPr="00E56AF4" w:rsidRDefault="00DF3B75" w:rsidP="00DF3B75">
      <w:pPr>
        <w:pStyle w:val="BodyText"/>
        <w:spacing w:before="8"/>
        <w:rPr>
          <w:rFonts w:ascii="Arial" w:hAnsi="Arial" w:cs="Arial"/>
        </w:rPr>
      </w:pPr>
    </w:p>
    <w:p w14:paraId="13ADD6A3" w14:textId="77777777" w:rsidR="00DF3B75" w:rsidRPr="00E56AF4" w:rsidRDefault="00DF3B75" w:rsidP="00DF3B75">
      <w:pPr>
        <w:pStyle w:val="BodyText"/>
        <w:spacing w:before="1" w:line="276" w:lineRule="auto"/>
        <w:ind w:left="719" w:right="1059"/>
        <w:rPr>
          <w:rFonts w:ascii="Arial" w:hAnsi="Arial" w:cs="Arial"/>
        </w:rPr>
      </w:pPr>
      <w:r w:rsidRPr="00E56AF4">
        <w:rPr>
          <w:rFonts w:ascii="Arial" w:hAnsi="Arial" w:cs="Arial"/>
        </w:rPr>
        <w:t xml:space="preserve">During the early </w:t>
      </w:r>
      <w:r w:rsidR="001D60B4">
        <w:rPr>
          <w:rFonts w:ascii="Arial" w:hAnsi="Arial" w:cs="Arial"/>
        </w:rPr>
        <w:t xml:space="preserve">to mid </w:t>
      </w:r>
      <w:r w:rsidRPr="00E56AF4">
        <w:rPr>
          <w:rFonts w:ascii="Arial" w:hAnsi="Arial" w:cs="Arial"/>
        </w:rPr>
        <w:t xml:space="preserve">2000’s, ABC grew its loan portfolio by &gt;70 percent. Contributing to this growth was an increase in CRE loans (including ADC loans) from &gt;$200 million in the early 2000’s to &gt;$500 million in the mid 2000’s. By 2008, ADC loans represented &gt;70 percent of ABC’s CRE portfolio. ABC’s ADC loans included speculative </w:t>
      </w:r>
      <w:r w:rsidR="00E44560" w:rsidRPr="00E56AF4">
        <w:rPr>
          <w:rFonts w:ascii="Arial" w:hAnsi="Arial" w:cs="Arial"/>
        </w:rPr>
        <w:t>construction</w:t>
      </w:r>
      <w:r w:rsidR="00E44560" w:rsidRPr="00E56AF4">
        <w:rPr>
          <w:rFonts w:ascii="Arial" w:hAnsi="Arial" w:cs="Arial"/>
          <w:vertAlign w:val="superscript"/>
        </w:rPr>
        <w:t xml:space="preserve"> </w:t>
      </w:r>
      <w:r w:rsidR="00E44560" w:rsidRPr="00E56AF4">
        <w:rPr>
          <w:rFonts w:ascii="Arial" w:hAnsi="Arial" w:cs="Arial"/>
        </w:rPr>
        <w:t>and</w:t>
      </w:r>
      <w:r w:rsidRPr="00E56AF4">
        <w:rPr>
          <w:rFonts w:ascii="Arial" w:hAnsi="Arial" w:cs="Arial"/>
        </w:rPr>
        <w:t xml:space="preserve"> land development projects in </w:t>
      </w:r>
      <w:r w:rsidR="000440F3">
        <w:rPr>
          <w:rFonts w:ascii="Arial" w:hAnsi="Arial" w:cs="Arial"/>
        </w:rPr>
        <w:t xml:space="preserve">and outside </w:t>
      </w:r>
      <w:r w:rsidRPr="00E56AF4">
        <w:rPr>
          <w:rFonts w:ascii="Arial" w:hAnsi="Arial" w:cs="Arial"/>
        </w:rPr>
        <w:t>the market area.</w:t>
      </w:r>
    </w:p>
    <w:p w14:paraId="0F0FF8D8" w14:textId="77777777" w:rsidR="00DF3B75" w:rsidRPr="00E56AF4" w:rsidRDefault="00DF3B75" w:rsidP="00DF3B75">
      <w:pPr>
        <w:pStyle w:val="BodyText"/>
        <w:spacing w:before="5"/>
        <w:rPr>
          <w:rFonts w:ascii="Arial" w:hAnsi="Arial" w:cs="Arial"/>
        </w:rPr>
      </w:pPr>
    </w:p>
    <w:p w14:paraId="3D935A76" w14:textId="2870F168" w:rsidR="003249DE" w:rsidRDefault="00DF3B75" w:rsidP="004E57A3">
      <w:pPr>
        <w:pStyle w:val="BodyText"/>
        <w:spacing w:before="74" w:line="276" w:lineRule="auto"/>
        <w:ind w:left="719" w:right="1063"/>
        <w:rPr>
          <w:rFonts w:ascii="Arial" w:hAnsi="Arial" w:cs="Arial"/>
        </w:rPr>
      </w:pPr>
      <w:r w:rsidRPr="00E56AF4">
        <w:rPr>
          <w:rFonts w:ascii="Arial" w:hAnsi="Arial" w:cs="Arial"/>
        </w:rPr>
        <w:t xml:space="preserve">Although ABC had implemented certain controls for managing ADC loan concentrations, </w:t>
      </w:r>
      <w:r w:rsidR="009A6427">
        <w:rPr>
          <w:rFonts w:ascii="Arial" w:hAnsi="Arial" w:cs="Arial"/>
        </w:rPr>
        <w:t xml:space="preserve">the </w:t>
      </w:r>
      <w:r w:rsidRPr="00E56AF4">
        <w:rPr>
          <w:rFonts w:ascii="Arial" w:hAnsi="Arial" w:cs="Arial"/>
        </w:rPr>
        <w:t>concentration risk management practices were not</w:t>
      </w:r>
      <w:r w:rsidR="003249DE">
        <w:rPr>
          <w:rFonts w:ascii="Arial" w:hAnsi="Arial" w:cs="Arial"/>
        </w:rPr>
        <w:t xml:space="preserve"> sufficient</w:t>
      </w:r>
      <w:r w:rsidR="000440F3">
        <w:rPr>
          <w:rFonts w:ascii="Arial" w:hAnsi="Arial" w:cs="Arial"/>
        </w:rPr>
        <w:t>. T</w:t>
      </w:r>
      <w:r w:rsidRPr="00E56AF4">
        <w:rPr>
          <w:rFonts w:ascii="Arial" w:hAnsi="Arial" w:cs="Arial"/>
        </w:rPr>
        <w:t>he institution’s loan policy established limits by category for the acquisition and development loans in relation to total loans. However, ABC</w:t>
      </w:r>
      <w:r w:rsidRPr="00E56AF4">
        <w:rPr>
          <w:rFonts w:ascii="Arial" w:hAnsi="Arial" w:cs="Arial"/>
          <w:spacing w:val="-18"/>
        </w:rPr>
        <w:t xml:space="preserve"> </w:t>
      </w:r>
      <w:r w:rsidRPr="00E56AF4">
        <w:rPr>
          <w:rFonts w:ascii="Arial" w:hAnsi="Arial" w:cs="Arial"/>
        </w:rPr>
        <w:t>did</w:t>
      </w:r>
      <w:r w:rsidR="000440F3">
        <w:rPr>
          <w:rFonts w:ascii="Arial" w:hAnsi="Arial" w:cs="Arial"/>
        </w:rPr>
        <w:t xml:space="preserve"> not follow those</w:t>
      </w:r>
      <w:r w:rsidR="004333B7">
        <w:rPr>
          <w:rFonts w:ascii="Arial" w:hAnsi="Arial" w:cs="Arial"/>
        </w:rPr>
        <w:t xml:space="preserve"> limits</w:t>
      </w:r>
      <w:r w:rsidR="001D60B4">
        <w:rPr>
          <w:rFonts w:ascii="Arial" w:hAnsi="Arial" w:cs="Arial"/>
        </w:rPr>
        <w:t>.  Additionally</w:t>
      </w:r>
      <w:r w:rsidRPr="00E56AF4">
        <w:rPr>
          <w:rFonts w:ascii="Arial" w:hAnsi="Arial" w:cs="Arial"/>
        </w:rPr>
        <w:t xml:space="preserve">, </w:t>
      </w:r>
      <w:r w:rsidR="001D60B4">
        <w:rPr>
          <w:rFonts w:ascii="Arial" w:hAnsi="Arial" w:cs="Arial"/>
        </w:rPr>
        <w:t xml:space="preserve">ABC </w:t>
      </w:r>
      <w:r w:rsidRPr="00E56AF4">
        <w:rPr>
          <w:rFonts w:ascii="Arial" w:hAnsi="Arial" w:cs="Arial"/>
        </w:rPr>
        <w:t xml:space="preserve">conducted </w:t>
      </w:r>
      <w:r w:rsidR="003249DE">
        <w:rPr>
          <w:rFonts w:ascii="Arial" w:hAnsi="Arial" w:cs="Arial"/>
        </w:rPr>
        <w:t xml:space="preserve">limited </w:t>
      </w:r>
      <w:r w:rsidRPr="00E56AF4">
        <w:rPr>
          <w:rFonts w:ascii="Arial" w:hAnsi="Arial" w:cs="Arial"/>
        </w:rPr>
        <w:t xml:space="preserve">stress tests on its ADC loan portfolio and had not adequately monitored the </w:t>
      </w:r>
      <w:r w:rsidR="006705E2">
        <w:rPr>
          <w:rFonts w:ascii="Arial" w:hAnsi="Arial" w:cs="Arial"/>
        </w:rPr>
        <w:t xml:space="preserve">cash flows and </w:t>
      </w:r>
      <w:r w:rsidRPr="00E56AF4">
        <w:rPr>
          <w:rFonts w:ascii="Arial" w:hAnsi="Arial" w:cs="Arial"/>
        </w:rPr>
        <w:t xml:space="preserve">global debt </w:t>
      </w:r>
      <w:r w:rsidR="00E15F08">
        <w:rPr>
          <w:rFonts w:ascii="Arial" w:hAnsi="Arial" w:cs="Arial"/>
        </w:rPr>
        <w:t xml:space="preserve">service of </w:t>
      </w:r>
      <w:r w:rsidR="003249DE">
        <w:rPr>
          <w:rFonts w:ascii="Arial" w:hAnsi="Arial" w:cs="Arial"/>
        </w:rPr>
        <w:t xml:space="preserve">several </w:t>
      </w:r>
      <w:r w:rsidR="00E15F08">
        <w:rPr>
          <w:rFonts w:ascii="Arial" w:hAnsi="Arial" w:cs="Arial"/>
        </w:rPr>
        <w:t>l</w:t>
      </w:r>
      <w:r w:rsidR="003249DE">
        <w:rPr>
          <w:rFonts w:ascii="Arial" w:hAnsi="Arial" w:cs="Arial"/>
        </w:rPr>
        <w:t xml:space="preserve">arge </w:t>
      </w:r>
      <w:r w:rsidRPr="00E56AF4">
        <w:rPr>
          <w:rFonts w:ascii="Arial" w:hAnsi="Arial" w:cs="Arial"/>
        </w:rPr>
        <w:t xml:space="preserve">borrowers. </w:t>
      </w:r>
    </w:p>
    <w:p w14:paraId="5E6333F9" w14:textId="77777777" w:rsidR="00DF3B75" w:rsidRDefault="00DF3B75" w:rsidP="001D60B4">
      <w:pPr>
        <w:spacing w:before="1"/>
        <w:rPr>
          <w:rFonts w:ascii="Arial" w:hAnsi="Arial" w:cs="Arial"/>
          <w:sz w:val="24"/>
          <w:szCs w:val="24"/>
        </w:rPr>
      </w:pPr>
    </w:p>
    <w:p w14:paraId="1ECDAFBA" w14:textId="77777777" w:rsidR="00DF3B75" w:rsidRPr="00E56AF4" w:rsidRDefault="00DF3B75" w:rsidP="00DF3B75">
      <w:pPr>
        <w:spacing w:before="1"/>
        <w:ind w:left="720"/>
        <w:rPr>
          <w:rFonts w:ascii="Arial" w:hAnsi="Arial" w:cs="Arial"/>
          <w:b/>
          <w:sz w:val="24"/>
          <w:szCs w:val="24"/>
        </w:rPr>
      </w:pPr>
      <w:r w:rsidRPr="00E56AF4">
        <w:rPr>
          <w:rFonts w:ascii="Arial" w:hAnsi="Arial" w:cs="Arial"/>
          <w:b/>
          <w:sz w:val="24"/>
          <w:szCs w:val="24"/>
        </w:rPr>
        <w:t>Capital Levels</w:t>
      </w:r>
    </w:p>
    <w:p w14:paraId="53DB24FF" w14:textId="77777777" w:rsidR="00DF3B75" w:rsidRPr="00E56AF4" w:rsidRDefault="00DF3B75" w:rsidP="00DF3B75">
      <w:pPr>
        <w:pStyle w:val="BodyText"/>
        <w:spacing w:before="8"/>
        <w:rPr>
          <w:rFonts w:ascii="Arial" w:hAnsi="Arial" w:cs="Arial"/>
        </w:rPr>
      </w:pPr>
    </w:p>
    <w:p w14:paraId="19272DD8" w14:textId="590248B7" w:rsidR="00DF3B75" w:rsidRPr="00E56AF4" w:rsidRDefault="006705E2" w:rsidP="00DF3B75">
      <w:pPr>
        <w:pStyle w:val="BodyText"/>
        <w:spacing w:line="276" w:lineRule="auto"/>
        <w:ind w:left="720" w:right="1059"/>
        <w:rPr>
          <w:rFonts w:ascii="Arial" w:hAnsi="Arial" w:cs="Arial"/>
        </w:rPr>
      </w:pPr>
      <w:r>
        <w:rPr>
          <w:rFonts w:ascii="Arial" w:hAnsi="Arial" w:cs="Arial"/>
        </w:rPr>
        <w:t>In early 2000’s, t</w:t>
      </w:r>
      <w:r w:rsidR="00DF3B75" w:rsidRPr="00E56AF4">
        <w:rPr>
          <w:rFonts w:ascii="Arial" w:hAnsi="Arial" w:cs="Arial"/>
        </w:rPr>
        <w:t xml:space="preserve">he bank’s capital ratios were about the same as its peer group average despite having ADC loan concentrations that were </w:t>
      </w:r>
      <w:r w:rsidR="00DF3B75" w:rsidRPr="00E56AF4">
        <w:rPr>
          <w:rFonts w:ascii="Arial" w:hAnsi="Arial" w:cs="Arial"/>
        </w:rPr>
        <w:lastRenderedPageBreak/>
        <w:t>significantly higher than peer. The bank’s capital levels de</w:t>
      </w:r>
      <w:r w:rsidR="001D60B4">
        <w:rPr>
          <w:rFonts w:ascii="Arial" w:hAnsi="Arial" w:cs="Arial"/>
        </w:rPr>
        <w:t>clined significantly during the late 2000’s</w:t>
      </w:r>
      <w:r w:rsidR="00DF3B75" w:rsidRPr="00E56AF4">
        <w:rPr>
          <w:rFonts w:ascii="Arial" w:hAnsi="Arial" w:cs="Arial"/>
        </w:rPr>
        <w:t xml:space="preserve">. </w:t>
      </w:r>
    </w:p>
    <w:p w14:paraId="0F167DD4" w14:textId="77777777" w:rsidR="00DF3B75" w:rsidRPr="00E56AF4" w:rsidRDefault="00DF3B75" w:rsidP="00DF3B75">
      <w:pPr>
        <w:pStyle w:val="BodyText"/>
        <w:spacing w:line="276" w:lineRule="auto"/>
        <w:ind w:left="719" w:right="1095"/>
        <w:rPr>
          <w:rFonts w:ascii="Arial" w:hAnsi="Arial" w:cs="Arial"/>
        </w:rPr>
      </w:pPr>
    </w:p>
    <w:p w14:paraId="6CE5F6FE" w14:textId="77777777" w:rsidR="00DF3B75" w:rsidRPr="000D3032" w:rsidRDefault="00DF3B75" w:rsidP="00DF3B75">
      <w:pPr>
        <w:spacing w:before="75"/>
        <w:ind w:left="720"/>
        <w:rPr>
          <w:rFonts w:ascii="Arial" w:hAnsi="Arial" w:cs="Arial"/>
          <w:b/>
          <w:sz w:val="24"/>
          <w:szCs w:val="24"/>
        </w:rPr>
      </w:pPr>
      <w:r w:rsidRPr="000D3032">
        <w:rPr>
          <w:rFonts w:ascii="Arial" w:hAnsi="Arial" w:cs="Arial"/>
          <w:b/>
          <w:sz w:val="24"/>
          <w:szCs w:val="24"/>
        </w:rPr>
        <w:t>Lending Practices</w:t>
      </w:r>
    </w:p>
    <w:p w14:paraId="4D416B54" w14:textId="77777777" w:rsidR="00DF3B75" w:rsidRPr="00E56AF4" w:rsidRDefault="00DF3B75" w:rsidP="00DF3B75">
      <w:pPr>
        <w:pStyle w:val="BodyText"/>
        <w:spacing w:before="8"/>
        <w:rPr>
          <w:rFonts w:ascii="Arial" w:hAnsi="Arial" w:cs="Arial"/>
        </w:rPr>
      </w:pPr>
    </w:p>
    <w:p w14:paraId="61BF557F" w14:textId="39F267C7" w:rsidR="00DF3B75" w:rsidRPr="00E56AF4" w:rsidRDefault="00DF3B75" w:rsidP="00DF3B75">
      <w:pPr>
        <w:pStyle w:val="BodyText"/>
        <w:spacing w:line="276" w:lineRule="auto"/>
        <w:ind w:left="720" w:right="1095"/>
        <w:rPr>
          <w:rFonts w:ascii="Arial" w:hAnsi="Arial" w:cs="Arial"/>
        </w:rPr>
      </w:pPr>
      <w:r w:rsidRPr="00E56AF4">
        <w:rPr>
          <w:rFonts w:ascii="Arial" w:hAnsi="Arial" w:cs="Arial"/>
        </w:rPr>
        <w:t>I</w:t>
      </w:r>
      <w:r w:rsidR="003249DE">
        <w:rPr>
          <w:rFonts w:ascii="Arial" w:hAnsi="Arial" w:cs="Arial"/>
        </w:rPr>
        <w:t xml:space="preserve">neffective </w:t>
      </w:r>
      <w:r w:rsidRPr="00E56AF4">
        <w:rPr>
          <w:rFonts w:ascii="Arial" w:hAnsi="Arial" w:cs="Arial"/>
        </w:rPr>
        <w:t xml:space="preserve">oversight of the lending function contributed to the asset quality problems that </w:t>
      </w:r>
      <w:r w:rsidR="006705E2">
        <w:rPr>
          <w:rFonts w:ascii="Arial" w:hAnsi="Arial" w:cs="Arial"/>
        </w:rPr>
        <w:t>developed when the economy and ABC</w:t>
      </w:r>
      <w:r w:rsidRPr="00E56AF4">
        <w:rPr>
          <w:rFonts w:ascii="Arial" w:hAnsi="Arial" w:cs="Arial"/>
        </w:rPr>
        <w:t>s local real es</w:t>
      </w:r>
      <w:r w:rsidR="006705E2">
        <w:rPr>
          <w:rFonts w:ascii="Arial" w:hAnsi="Arial" w:cs="Arial"/>
        </w:rPr>
        <w:t xml:space="preserve">tate market declined. </w:t>
      </w:r>
      <w:r w:rsidR="000440F3">
        <w:rPr>
          <w:rFonts w:ascii="Arial" w:hAnsi="Arial" w:cs="Arial"/>
        </w:rPr>
        <w:t>Certain risk management norms</w:t>
      </w:r>
      <w:r w:rsidRPr="00E56AF4">
        <w:rPr>
          <w:rFonts w:ascii="Arial" w:hAnsi="Arial" w:cs="Arial"/>
        </w:rPr>
        <w:t xml:space="preserve"> </w:t>
      </w:r>
      <w:r w:rsidR="000440F3">
        <w:rPr>
          <w:rFonts w:ascii="Arial" w:hAnsi="Arial" w:cs="Arial"/>
        </w:rPr>
        <w:t>such as reluctance</w:t>
      </w:r>
      <w:r w:rsidR="006705E2">
        <w:rPr>
          <w:rFonts w:ascii="Arial" w:hAnsi="Arial" w:cs="Arial"/>
        </w:rPr>
        <w:t xml:space="preserve"> to downgrade risk ratings </w:t>
      </w:r>
      <w:r w:rsidRPr="00E56AF4">
        <w:rPr>
          <w:rFonts w:ascii="Arial" w:hAnsi="Arial" w:cs="Arial"/>
        </w:rPr>
        <w:t>had the effect of del</w:t>
      </w:r>
      <w:r w:rsidR="007A764E">
        <w:rPr>
          <w:rFonts w:ascii="Arial" w:hAnsi="Arial" w:cs="Arial"/>
        </w:rPr>
        <w:t>aying recognition of the</w:t>
      </w:r>
      <w:r w:rsidRPr="00E56AF4">
        <w:rPr>
          <w:rFonts w:ascii="Arial" w:hAnsi="Arial" w:cs="Arial"/>
        </w:rPr>
        <w:t xml:space="preserve"> deterioration in the bank’s loan portfolio. The </w:t>
      </w:r>
      <w:r w:rsidR="003249DE">
        <w:rPr>
          <w:rFonts w:ascii="Arial" w:hAnsi="Arial" w:cs="Arial"/>
        </w:rPr>
        <w:t xml:space="preserve">observations noted </w:t>
      </w:r>
      <w:r w:rsidRPr="00E56AF4">
        <w:rPr>
          <w:rFonts w:ascii="Arial" w:hAnsi="Arial" w:cs="Arial"/>
        </w:rPr>
        <w:t>below contributed to the failure.</w:t>
      </w:r>
    </w:p>
    <w:p w14:paraId="043FDD21" w14:textId="77777777" w:rsidR="00DF3B75" w:rsidRPr="00E56AF4" w:rsidRDefault="00DF3B75" w:rsidP="00DF3B75">
      <w:pPr>
        <w:pStyle w:val="BodyText"/>
        <w:spacing w:before="6"/>
        <w:rPr>
          <w:rFonts w:ascii="Arial" w:hAnsi="Arial" w:cs="Arial"/>
        </w:rPr>
      </w:pPr>
    </w:p>
    <w:p w14:paraId="2112F55C" w14:textId="3AF44F22" w:rsidR="00DF3B75" w:rsidRPr="000D3032" w:rsidRDefault="000D3032" w:rsidP="00DF3B75">
      <w:pPr>
        <w:ind w:left="720"/>
        <w:rPr>
          <w:rFonts w:ascii="Arial" w:hAnsi="Arial" w:cs="Arial"/>
          <w:b/>
          <w:sz w:val="24"/>
          <w:szCs w:val="24"/>
        </w:rPr>
      </w:pPr>
      <w:r w:rsidRPr="000D3032">
        <w:rPr>
          <w:rFonts w:ascii="Arial" w:hAnsi="Arial" w:cs="Arial"/>
          <w:b/>
          <w:sz w:val="24"/>
          <w:szCs w:val="24"/>
        </w:rPr>
        <w:t>Loan Underwriting</w:t>
      </w:r>
    </w:p>
    <w:p w14:paraId="6F5B9100" w14:textId="77777777" w:rsidR="00DF3B75" w:rsidRPr="00E56AF4" w:rsidRDefault="00DF3B75" w:rsidP="00DF3B75">
      <w:pPr>
        <w:pStyle w:val="BodyText"/>
        <w:spacing w:before="1"/>
        <w:rPr>
          <w:rFonts w:ascii="Arial" w:hAnsi="Arial" w:cs="Arial"/>
        </w:rPr>
      </w:pPr>
    </w:p>
    <w:p w14:paraId="26D6B140" w14:textId="1BC181C1" w:rsidR="007A764E" w:rsidRDefault="007A764E" w:rsidP="007A764E">
      <w:pPr>
        <w:pStyle w:val="ListParagraph"/>
        <w:numPr>
          <w:ilvl w:val="1"/>
          <w:numId w:val="1"/>
        </w:numPr>
        <w:tabs>
          <w:tab w:val="left" w:pos="1439"/>
          <w:tab w:val="left" w:pos="1440"/>
        </w:tabs>
        <w:spacing w:line="276" w:lineRule="auto"/>
        <w:ind w:right="1168"/>
        <w:rPr>
          <w:rFonts w:ascii="Arial" w:hAnsi="Arial" w:cs="Arial"/>
          <w:sz w:val="24"/>
          <w:szCs w:val="24"/>
        </w:rPr>
      </w:pPr>
      <w:r>
        <w:rPr>
          <w:rFonts w:ascii="Arial" w:hAnsi="Arial" w:cs="Arial"/>
          <w:sz w:val="24"/>
          <w:szCs w:val="24"/>
        </w:rPr>
        <w:t>ABC had numerous</w:t>
      </w:r>
      <w:r w:rsidR="000D3032">
        <w:rPr>
          <w:rFonts w:ascii="Arial" w:hAnsi="Arial" w:cs="Arial"/>
          <w:sz w:val="24"/>
          <w:szCs w:val="24"/>
        </w:rPr>
        <w:t xml:space="preserve"> loans in its portfolio with credit decisions that </w:t>
      </w:r>
      <w:r w:rsidRPr="00E56AF4">
        <w:rPr>
          <w:rFonts w:ascii="Arial" w:hAnsi="Arial" w:cs="Arial"/>
          <w:sz w:val="24"/>
          <w:szCs w:val="24"/>
        </w:rPr>
        <w:t xml:space="preserve">exceeded prudent and typical </w:t>
      </w:r>
      <w:r w:rsidRPr="000D3032">
        <w:rPr>
          <w:rFonts w:ascii="Arial" w:hAnsi="Arial" w:cs="Arial"/>
          <w:b/>
          <w:sz w:val="24"/>
          <w:szCs w:val="24"/>
        </w:rPr>
        <w:t>l</w:t>
      </w:r>
      <w:r w:rsidR="000D3032" w:rsidRPr="000D3032">
        <w:rPr>
          <w:rFonts w:ascii="Arial" w:hAnsi="Arial" w:cs="Arial"/>
          <w:b/>
          <w:sz w:val="24"/>
          <w:szCs w:val="24"/>
        </w:rPr>
        <w:t>oan-to-value</w:t>
      </w:r>
      <w:r w:rsidR="000D3032">
        <w:rPr>
          <w:rFonts w:ascii="Arial" w:hAnsi="Arial" w:cs="Arial"/>
          <w:sz w:val="24"/>
          <w:szCs w:val="24"/>
        </w:rPr>
        <w:t xml:space="preserve"> positions</w:t>
      </w:r>
      <w:r w:rsidRPr="00E56AF4">
        <w:rPr>
          <w:rFonts w:ascii="Arial" w:hAnsi="Arial" w:cs="Arial"/>
          <w:sz w:val="24"/>
          <w:szCs w:val="24"/>
        </w:rPr>
        <w:t>.</w:t>
      </w:r>
    </w:p>
    <w:p w14:paraId="155AAEA8" w14:textId="77777777" w:rsidR="007A764E" w:rsidRDefault="007A764E" w:rsidP="007A764E">
      <w:pPr>
        <w:pStyle w:val="ListParagraph"/>
        <w:tabs>
          <w:tab w:val="left" w:pos="1439"/>
          <w:tab w:val="left" w:pos="1440"/>
        </w:tabs>
        <w:spacing w:line="276" w:lineRule="auto"/>
        <w:ind w:right="1306" w:firstLine="0"/>
        <w:rPr>
          <w:rFonts w:ascii="Arial" w:hAnsi="Arial" w:cs="Arial"/>
          <w:sz w:val="24"/>
          <w:szCs w:val="24"/>
        </w:rPr>
      </w:pPr>
    </w:p>
    <w:p w14:paraId="52EB24AB" w14:textId="238420E0" w:rsidR="007A764E" w:rsidRDefault="007A764E" w:rsidP="007A764E">
      <w:pPr>
        <w:pStyle w:val="ListParagraph"/>
        <w:numPr>
          <w:ilvl w:val="0"/>
          <w:numId w:val="5"/>
        </w:numPr>
        <w:tabs>
          <w:tab w:val="left" w:pos="1439"/>
          <w:tab w:val="left" w:pos="1440"/>
        </w:tabs>
        <w:spacing w:line="276" w:lineRule="auto"/>
        <w:ind w:right="1168"/>
        <w:rPr>
          <w:rFonts w:ascii="Arial" w:hAnsi="Arial" w:cs="Arial"/>
          <w:sz w:val="24"/>
          <w:szCs w:val="24"/>
        </w:rPr>
      </w:pPr>
      <w:r w:rsidRPr="000D3032">
        <w:rPr>
          <w:rFonts w:ascii="Arial" w:hAnsi="Arial" w:cs="Arial"/>
          <w:b/>
          <w:sz w:val="24"/>
          <w:szCs w:val="24"/>
        </w:rPr>
        <w:t>Underwriting exceptions</w:t>
      </w:r>
      <w:r w:rsidRPr="007A764E">
        <w:rPr>
          <w:rFonts w:ascii="Arial" w:hAnsi="Arial" w:cs="Arial"/>
          <w:sz w:val="24"/>
          <w:szCs w:val="24"/>
        </w:rPr>
        <w:t xml:space="preserve"> were not centrally tracked and were approved with</w:t>
      </w:r>
      <w:r w:rsidR="003249DE">
        <w:rPr>
          <w:rFonts w:ascii="Arial" w:hAnsi="Arial" w:cs="Arial"/>
          <w:sz w:val="24"/>
          <w:szCs w:val="24"/>
        </w:rPr>
        <w:t>out</w:t>
      </w:r>
      <w:r w:rsidRPr="007A764E">
        <w:rPr>
          <w:rFonts w:ascii="Arial" w:hAnsi="Arial" w:cs="Arial"/>
          <w:sz w:val="24"/>
          <w:szCs w:val="24"/>
        </w:rPr>
        <w:t xml:space="preserve"> appropriate justification or documentation in credit approval packages.</w:t>
      </w:r>
    </w:p>
    <w:p w14:paraId="21EA9275" w14:textId="77777777" w:rsidR="007A764E" w:rsidRPr="007A764E" w:rsidRDefault="007A764E" w:rsidP="0038256D">
      <w:pPr>
        <w:pStyle w:val="ListParagraph"/>
        <w:tabs>
          <w:tab w:val="left" w:pos="1439"/>
          <w:tab w:val="left" w:pos="1440"/>
        </w:tabs>
        <w:spacing w:line="276" w:lineRule="auto"/>
        <w:ind w:right="1168" w:firstLine="0"/>
        <w:rPr>
          <w:rFonts w:ascii="Arial" w:hAnsi="Arial" w:cs="Arial"/>
          <w:sz w:val="24"/>
          <w:szCs w:val="24"/>
        </w:rPr>
      </w:pPr>
    </w:p>
    <w:p w14:paraId="3EA52FCA" w14:textId="13B87EA6" w:rsidR="000D3032" w:rsidRPr="003249DE" w:rsidRDefault="007A764E" w:rsidP="000D3032">
      <w:pPr>
        <w:pStyle w:val="ListParagraph"/>
        <w:numPr>
          <w:ilvl w:val="1"/>
          <w:numId w:val="1"/>
        </w:numPr>
        <w:tabs>
          <w:tab w:val="left" w:pos="1439"/>
          <w:tab w:val="left" w:pos="1440"/>
        </w:tabs>
        <w:spacing w:line="276" w:lineRule="auto"/>
        <w:ind w:right="1306"/>
        <w:rPr>
          <w:rFonts w:ascii="Arial" w:hAnsi="Arial" w:cs="Arial"/>
          <w:sz w:val="24"/>
          <w:szCs w:val="24"/>
        </w:rPr>
      </w:pPr>
      <w:r>
        <w:rPr>
          <w:rFonts w:ascii="Arial" w:hAnsi="Arial" w:cs="Arial"/>
          <w:sz w:val="24"/>
          <w:szCs w:val="24"/>
        </w:rPr>
        <w:t>Certain loans were approved/structu</w:t>
      </w:r>
      <w:r w:rsidR="000D3032">
        <w:rPr>
          <w:rFonts w:ascii="Arial" w:hAnsi="Arial" w:cs="Arial"/>
          <w:sz w:val="24"/>
          <w:szCs w:val="24"/>
        </w:rPr>
        <w:t xml:space="preserve">red with </w:t>
      </w:r>
      <w:r w:rsidR="000D3032" w:rsidRPr="000D3032">
        <w:rPr>
          <w:rFonts w:ascii="Arial" w:hAnsi="Arial" w:cs="Arial"/>
          <w:b/>
          <w:sz w:val="24"/>
          <w:szCs w:val="24"/>
        </w:rPr>
        <w:t xml:space="preserve">violations to loan </w:t>
      </w:r>
      <w:r w:rsidRPr="000D3032">
        <w:rPr>
          <w:rFonts w:ascii="Arial" w:hAnsi="Arial" w:cs="Arial"/>
          <w:b/>
          <w:sz w:val="24"/>
          <w:szCs w:val="24"/>
        </w:rPr>
        <w:t>policies</w:t>
      </w:r>
      <w:r>
        <w:rPr>
          <w:rFonts w:ascii="Arial" w:hAnsi="Arial" w:cs="Arial"/>
          <w:sz w:val="24"/>
          <w:szCs w:val="24"/>
        </w:rPr>
        <w:t xml:space="preserve"> but were not noted as such in credit approval packages.</w:t>
      </w:r>
    </w:p>
    <w:p w14:paraId="622723C2" w14:textId="77777777" w:rsidR="000D3032" w:rsidRPr="000D3032" w:rsidRDefault="000D3032" w:rsidP="000D3032">
      <w:pPr>
        <w:pStyle w:val="ListParagraph"/>
        <w:rPr>
          <w:rFonts w:ascii="Arial" w:hAnsi="Arial" w:cs="Arial"/>
          <w:sz w:val="24"/>
          <w:szCs w:val="24"/>
        </w:rPr>
      </w:pPr>
    </w:p>
    <w:p w14:paraId="0E4EFD93" w14:textId="27DF6133" w:rsidR="00DF3B75" w:rsidRPr="00E56AF4" w:rsidRDefault="00DF3B75" w:rsidP="00DF3B75">
      <w:pPr>
        <w:pStyle w:val="ListParagraph"/>
        <w:numPr>
          <w:ilvl w:val="1"/>
          <w:numId w:val="1"/>
        </w:numPr>
        <w:tabs>
          <w:tab w:val="left" w:pos="1439"/>
          <w:tab w:val="left" w:pos="1440"/>
        </w:tabs>
        <w:spacing w:line="276" w:lineRule="auto"/>
        <w:ind w:right="1306"/>
        <w:rPr>
          <w:rFonts w:ascii="Arial" w:hAnsi="Arial" w:cs="Arial"/>
          <w:sz w:val="24"/>
          <w:szCs w:val="24"/>
        </w:rPr>
      </w:pPr>
      <w:r w:rsidRPr="00E56AF4">
        <w:rPr>
          <w:rFonts w:ascii="Arial" w:hAnsi="Arial" w:cs="Arial"/>
          <w:sz w:val="24"/>
          <w:szCs w:val="24"/>
        </w:rPr>
        <w:t xml:space="preserve">ABC did not routinely perform </w:t>
      </w:r>
      <w:r w:rsidRPr="000D3032">
        <w:rPr>
          <w:rFonts w:ascii="Arial" w:hAnsi="Arial" w:cs="Arial"/>
          <w:b/>
          <w:sz w:val="24"/>
          <w:szCs w:val="24"/>
        </w:rPr>
        <w:t>global cash flow analyses</w:t>
      </w:r>
      <w:r w:rsidRPr="00E56AF4">
        <w:rPr>
          <w:rFonts w:ascii="Arial" w:hAnsi="Arial" w:cs="Arial"/>
          <w:sz w:val="24"/>
          <w:szCs w:val="24"/>
        </w:rPr>
        <w:t xml:space="preserve"> and did not </w:t>
      </w:r>
      <w:r w:rsidR="003249DE">
        <w:rPr>
          <w:rFonts w:ascii="Arial" w:hAnsi="Arial" w:cs="Arial"/>
          <w:sz w:val="24"/>
          <w:szCs w:val="24"/>
        </w:rPr>
        <w:t xml:space="preserve">consistently </w:t>
      </w:r>
      <w:r w:rsidRPr="00E56AF4">
        <w:rPr>
          <w:rFonts w:ascii="Arial" w:hAnsi="Arial" w:cs="Arial"/>
          <w:sz w:val="24"/>
          <w:szCs w:val="24"/>
        </w:rPr>
        <w:t xml:space="preserve">consider the impact of larger borrowers’ </w:t>
      </w:r>
      <w:r w:rsidRPr="000D3032">
        <w:rPr>
          <w:rFonts w:ascii="Arial" w:hAnsi="Arial" w:cs="Arial"/>
          <w:b/>
          <w:sz w:val="24"/>
          <w:szCs w:val="24"/>
        </w:rPr>
        <w:t>contingent</w:t>
      </w:r>
      <w:r w:rsidRPr="000D3032">
        <w:rPr>
          <w:rFonts w:ascii="Arial" w:hAnsi="Arial" w:cs="Arial"/>
          <w:b/>
          <w:spacing w:val="-4"/>
          <w:sz w:val="24"/>
          <w:szCs w:val="24"/>
        </w:rPr>
        <w:t xml:space="preserve"> </w:t>
      </w:r>
      <w:r w:rsidRPr="000D3032">
        <w:rPr>
          <w:rFonts w:ascii="Arial" w:hAnsi="Arial" w:cs="Arial"/>
          <w:b/>
          <w:sz w:val="24"/>
          <w:szCs w:val="24"/>
        </w:rPr>
        <w:t>liabilities</w:t>
      </w:r>
      <w:r w:rsidRPr="00E56AF4">
        <w:rPr>
          <w:rFonts w:ascii="Arial" w:hAnsi="Arial" w:cs="Arial"/>
          <w:sz w:val="24"/>
          <w:szCs w:val="24"/>
        </w:rPr>
        <w:t>.</w:t>
      </w:r>
    </w:p>
    <w:p w14:paraId="30BDCE8A" w14:textId="77777777" w:rsidR="007A764E" w:rsidRDefault="007A764E" w:rsidP="007A764E">
      <w:pPr>
        <w:tabs>
          <w:tab w:val="left" w:pos="1439"/>
          <w:tab w:val="left" w:pos="1440"/>
        </w:tabs>
        <w:spacing w:line="276" w:lineRule="auto"/>
        <w:ind w:right="1241"/>
        <w:rPr>
          <w:rFonts w:ascii="Arial" w:hAnsi="Arial" w:cs="Arial"/>
          <w:sz w:val="24"/>
          <w:szCs w:val="24"/>
        </w:rPr>
      </w:pPr>
    </w:p>
    <w:p w14:paraId="04A457E1" w14:textId="2942570B" w:rsidR="006705E2" w:rsidRPr="0038256D" w:rsidRDefault="007A764E" w:rsidP="0038256D">
      <w:pPr>
        <w:pStyle w:val="ListParagraph"/>
        <w:numPr>
          <w:ilvl w:val="0"/>
          <w:numId w:val="7"/>
        </w:numPr>
        <w:tabs>
          <w:tab w:val="left" w:pos="1439"/>
          <w:tab w:val="left" w:pos="1440"/>
        </w:tabs>
        <w:spacing w:line="276" w:lineRule="auto"/>
        <w:ind w:right="1241"/>
        <w:rPr>
          <w:rFonts w:ascii="Arial" w:hAnsi="Arial" w:cs="Arial"/>
          <w:sz w:val="24"/>
          <w:szCs w:val="24"/>
        </w:rPr>
      </w:pPr>
      <w:r w:rsidRPr="000D3032">
        <w:rPr>
          <w:rFonts w:ascii="Arial" w:hAnsi="Arial" w:cs="Arial"/>
          <w:b/>
          <w:sz w:val="24"/>
          <w:szCs w:val="24"/>
        </w:rPr>
        <w:t>Incentive plans</w:t>
      </w:r>
      <w:r>
        <w:rPr>
          <w:rFonts w:ascii="Arial" w:hAnsi="Arial" w:cs="Arial"/>
          <w:sz w:val="24"/>
          <w:szCs w:val="24"/>
        </w:rPr>
        <w:t xml:space="preserve"> for customer facin</w:t>
      </w:r>
      <w:r w:rsidR="0038256D">
        <w:rPr>
          <w:rFonts w:ascii="Arial" w:hAnsi="Arial" w:cs="Arial"/>
          <w:sz w:val="24"/>
          <w:szCs w:val="24"/>
        </w:rPr>
        <w:t xml:space="preserve">g employees were based solely </w:t>
      </w:r>
      <w:r>
        <w:rPr>
          <w:rFonts w:ascii="Arial" w:hAnsi="Arial" w:cs="Arial"/>
          <w:sz w:val="24"/>
          <w:szCs w:val="24"/>
        </w:rPr>
        <w:t>on loan production and growth</w:t>
      </w:r>
      <w:r w:rsidR="006B0912">
        <w:rPr>
          <w:rFonts w:ascii="Arial" w:hAnsi="Arial" w:cs="Arial"/>
          <w:sz w:val="24"/>
          <w:szCs w:val="24"/>
        </w:rPr>
        <w:t xml:space="preserve"> as asset q</w:t>
      </w:r>
      <w:r>
        <w:rPr>
          <w:rFonts w:ascii="Arial" w:hAnsi="Arial" w:cs="Arial"/>
          <w:sz w:val="24"/>
          <w:szCs w:val="24"/>
        </w:rPr>
        <w:t xml:space="preserve">uality measures were absent from </w:t>
      </w:r>
      <w:r w:rsidR="00E44560">
        <w:rPr>
          <w:rFonts w:ascii="Arial" w:hAnsi="Arial" w:cs="Arial"/>
          <w:sz w:val="24"/>
          <w:szCs w:val="24"/>
        </w:rPr>
        <w:t>those plans.</w:t>
      </w:r>
    </w:p>
    <w:p w14:paraId="2FCC0C36" w14:textId="77777777" w:rsidR="00DF3B75" w:rsidRPr="00E56AF4" w:rsidRDefault="00DF3B75" w:rsidP="00DF3B75">
      <w:pPr>
        <w:pStyle w:val="BodyText"/>
        <w:spacing w:before="8"/>
        <w:rPr>
          <w:rFonts w:ascii="Arial" w:hAnsi="Arial" w:cs="Arial"/>
        </w:rPr>
      </w:pPr>
    </w:p>
    <w:p w14:paraId="41FD334E" w14:textId="498CA604" w:rsidR="00DF3B75" w:rsidRPr="00E56AF4" w:rsidRDefault="00DF3B75" w:rsidP="00DF3B75">
      <w:pPr>
        <w:ind w:left="720"/>
        <w:rPr>
          <w:rFonts w:ascii="Arial" w:hAnsi="Arial" w:cs="Arial"/>
          <w:sz w:val="24"/>
          <w:szCs w:val="24"/>
        </w:rPr>
      </w:pPr>
      <w:r w:rsidRPr="000D3032">
        <w:rPr>
          <w:rFonts w:ascii="Arial" w:hAnsi="Arial" w:cs="Arial"/>
          <w:b/>
          <w:sz w:val="24"/>
          <w:szCs w:val="24"/>
        </w:rPr>
        <w:t>Credit Administration and Loan Monitoring</w:t>
      </w:r>
    </w:p>
    <w:p w14:paraId="29A62050" w14:textId="77777777" w:rsidR="00DF3B75" w:rsidRPr="00E56AF4" w:rsidRDefault="00DF3B75" w:rsidP="00DF3B75">
      <w:pPr>
        <w:pStyle w:val="BodyText"/>
        <w:spacing w:before="3"/>
        <w:rPr>
          <w:rFonts w:ascii="Arial" w:hAnsi="Arial" w:cs="Arial"/>
        </w:rPr>
      </w:pPr>
    </w:p>
    <w:p w14:paraId="653262E5" w14:textId="3569C9C6" w:rsidR="00E44560" w:rsidRDefault="0038256D" w:rsidP="00E44560">
      <w:pPr>
        <w:pStyle w:val="ListParagraph"/>
        <w:numPr>
          <w:ilvl w:val="1"/>
          <w:numId w:val="1"/>
        </w:numPr>
        <w:tabs>
          <w:tab w:val="left" w:pos="1439"/>
          <w:tab w:val="left" w:pos="1440"/>
        </w:tabs>
        <w:spacing w:before="1" w:line="276" w:lineRule="auto"/>
        <w:ind w:right="1072"/>
        <w:rPr>
          <w:rFonts w:ascii="Arial" w:hAnsi="Arial" w:cs="Arial"/>
          <w:sz w:val="24"/>
          <w:szCs w:val="24"/>
        </w:rPr>
      </w:pPr>
      <w:r>
        <w:rPr>
          <w:rFonts w:ascii="Arial" w:hAnsi="Arial" w:cs="Arial"/>
          <w:sz w:val="24"/>
          <w:szCs w:val="24"/>
        </w:rPr>
        <w:t xml:space="preserve">ABC did not have an effective </w:t>
      </w:r>
      <w:r w:rsidRPr="000D3032">
        <w:rPr>
          <w:rFonts w:ascii="Arial" w:hAnsi="Arial" w:cs="Arial"/>
          <w:b/>
          <w:sz w:val="24"/>
          <w:szCs w:val="24"/>
        </w:rPr>
        <w:t>L</w:t>
      </w:r>
      <w:r w:rsidR="00E44560" w:rsidRPr="000D3032">
        <w:rPr>
          <w:rFonts w:ascii="Arial" w:hAnsi="Arial" w:cs="Arial"/>
          <w:b/>
          <w:sz w:val="24"/>
          <w:szCs w:val="24"/>
        </w:rPr>
        <w:t>oan</w:t>
      </w:r>
      <w:r w:rsidRPr="000D3032">
        <w:rPr>
          <w:rFonts w:ascii="Arial" w:hAnsi="Arial" w:cs="Arial"/>
          <w:b/>
          <w:sz w:val="24"/>
          <w:szCs w:val="24"/>
        </w:rPr>
        <w:t xml:space="preserve"> R</w:t>
      </w:r>
      <w:r w:rsidR="00E44560" w:rsidRPr="000D3032">
        <w:rPr>
          <w:rFonts w:ascii="Arial" w:hAnsi="Arial" w:cs="Arial"/>
          <w:b/>
          <w:sz w:val="24"/>
          <w:szCs w:val="24"/>
        </w:rPr>
        <w:t>eview</w:t>
      </w:r>
      <w:r w:rsidR="00E44560" w:rsidRPr="00E56AF4">
        <w:rPr>
          <w:rFonts w:ascii="Arial" w:hAnsi="Arial" w:cs="Arial"/>
          <w:sz w:val="24"/>
          <w:szCs w:val="24"/>
        </w:rPr>
        <w:t xml:space="preserve"> and</w:t>
      </w:r>
      <w:r>
        <w:rPr>
          <w:rFonts w:ascii="Arial" w:hAnsi="Arial" w:cs="Arial"/>
          <w:sz w:val="24"/>
          <w:szCs w:val="24"/>
        </w:rPr>
        <w:t xml:space="preserve"> the</w:t>
      </w:r>
      <w:r w:rsidR="00E44560" w:rsidRPr="00E56AF4">
        <w:rPr>
          <w:rFonts w:ascii="Arial" w:hAnsi="Arial" w:cs="Arial"/>
          <w:sz w:val="24"/>
          <w:szCs w:val="24"/>
        </w:rPr>
        <w:t xml:space="preserve"> intern</w:t>
      </w:r>
      <w:r w:rsidR="003249DE">
        <w:rPr>
          <w:rFonts w:ascii="Arial" w:hAnsi="Arial" w:cs="Arial"/>
          <w:sz w:val="24"/>
          <w:szCs w:val="24"/>
        </w:rPr>
        <w:t>al risk rating</w:t>
      </w:r>
      <w:r>
        <w:rPr>
          <w:rFonts w:ascii="Arial" w:hAnsi="Arial" w:cs="Arial"/>
          <w:sz w:val="24"/>
          <w:szCs w:val="24"/>
        </w:rPr>
        <w:t xml:space="preserve"> process </w:t>
      </w:r>
      <w:r w:rsidR="00E44560" w:rsidRPr="00E56AF4">
        <w:rPr>
          <w:rFonts w:ascii="Arial" w:hAnsi="Arial" w:cs="Arial"/>
          <w:sz w:val="24"/>
          <w:szCs w:val="24"/>
        </w:rPr>
        <w:t>failed to recognize problem credits in a timely manner.</w:t>
      </w:r>
    </w:p>
    <w:p w14:paraId="5908D01E" w14:textId="77777777" w:rsidR="00E44560" w:rsidRDefault="00E44560" w:rsidP="00E44560">
      <w:pPr>
        <w:tabs>
          <w:tab w:val="left" w:pos="1439"/>
          <w:tab w:val="left" w:pos="1440"/>
        </w:tabs>
        <w:spacing w:line="276" w:lineRule="auto"/>
        <w:ind w:right="1143"/>
        <w:rPr>
          <w:rFonts w:ascii="Arial" w:hAnsi="Arial" w:cs="Arial"/>
          <w:sz w:val="24"/>
          <w:szCs w:val="24"/>
        </w:rPr>
      </w:pPr>
    </w:p>
    <w:p w14:paraId="42250270" w14:textId="018A11F2" w:rsidR="00E44560" w:rsidRPr="00E44560" w:rsidRDefault="00E44560" w:rsidP="00E44560">
      <w:pPr>
        <w:pStyle w:val="ListParagraph"/>
        <w:numPr>
          <w:ilvl w:val="0"/>
          <w:numId w:val="7"/>
        </w:numPr>
        <w:tabs>
          <w:tab w:val="left" w:pos="1439"/>
          <w:tab w:val="left" w:pos="1440"/>
        </w:tabs>
        <w:spacing w:before="1" w:line="276" w:lineRule="auto"/>
        <w:ind w:right="1072"/>
        <w:rPr>
          <w:rFonts w:ascii="Arial" w:hAnsi="Arial" w:cs="Arial"/>
          <w:sz w:val="24"/>
          <w:szCs w:val="24"/>
        </w:rPr>
      </w:pPr>
      <w:r w:rsidRPr="000D3032">
        <w:rPr>
          <w:rFonts w:ascii="Arial" w:hAnsi="Arial" w:cs="Arial"/>
          <w:b/>
          <w:sz w:val="24"/>
          <w:szCs w:val="24"/>
        </w:rPr>
        <w:t>Collateral and documentation excep</w:t>
      </w:r>
      <w:r w:rsidR="0038256D" w:rsidRPr="000D3032">
        <w:rPr>
          <w:rFonts w:ascii="Arial" w:hAnsi="Arial" w:cs="Arial"/>
          <w:b/>
          <w:sz w:val="24"/>
          <w:szCs w:val="24"/>
        </w:rPr>
        <w:t>tions</w:t>
      </w:r>
      <w:r w:rsidR="0038256D">
        <w:rPr>
          <w:rFonts w:ascii="Arial" w:hAnsi="Arial" w:cs="Arial"/>
          <w:sz w:val="24"/>
          <w:szCs w:val="24"/>
        </w:rPr>
        <w:t xml:space="preserve"> were noted on final loan </w:t>
      </w:r>
      <w:r w:rsidR="004E57A3">
        <w:rPr>
          <w:rFonts w:ascii="Arial" w:hAnsi="Arial" w:cs="Arial"/>
          <w:sz w:val="24"/>
          <w:szCs w:val="24"/>
        </w:rPr>
        <w:t xml:space="preserve">closing </w:t>
      </w:r>
      <w:r w:rsidRPr="00E44560">
        <w:rPr>
          <w:rFonts w:ascii="Arial" w:hAnsi="Arial" w:cs="Arial"/>
          <w:sz w:val="24"/>
          <w:szCs w:val="24"/>
        </w:rPr>
        <w:t xml:space="preserve">documents without </w:t>
      </w:r>
      <w:r w:rsidR="0038256D">
        <w:rPr>
          <w:rFonts w:ascii="Arial" w:hAnsi="Arial" w:cs="Arial"/>
          <w:sz w:val="24"/>
          <w:szCs w:val="24"/>
        </w:rPr>
        <w:t>appropriate approval</w:t>
      </w:r>
      <w:r w:rsidRPr="00E44560">
        <w:rPr>
          <w:rFonts w:ascii="Arial" w:hAnsi="Arial" w:cs="Arial"/>
          <w:sz w:val="24"/>
          <w:szCs w:val="24"/>
        </w:rPr>
        <w:t>.</w:t>
      </w:r>
    </w:p>
    <w:p w14:paraId="20DB5FFA" w14:textId="77777777" w:rsidR="00E44560" w:rsidRPr="00E44560" w:rsidRDefault="00E44560" w:rsidP="00E44560">
      <w:pPr>
        <w:tabs>
          <w:tab w:val="left" w:pos="1439"/>
          <w:tab w:val="left" w:pos="1440"/>
        </w:tabs>
        <w:spacing w:line="276" w:lineRule="auto"/>
        <w:ind w:left="720" w:right="1143"/>
        <w:rPr>
          <w:rFonts w:ascii="Arial" w:hAnsi="Arial" w:cs="Arial"/>
          <w:sz w:val="24"/>
          <w:szCs w:val="24"/>
        </w:rPr>
      </w:pPr>
    </w:p>
    <w:p w14:paraId="1AFDB2C5" w14:textId="77777777" w:rsidR="00E44560" w:rsidRDefault="00E44560" w:rsidP="00E44560">
      <w:pPr>
        <w:pStyle w:val="ListParagraph"/>
        <w:numPr>
          <w:ilvl w:val="1"/>
          <w:numId w:val="1"/>
        </w:numPr>
        <w:tabs>
          <w:tab w:val="left" w:pos="1439"/>
          <w:tab w:val="left" w:pos="1440"/>
        </w:tabs>
        <w:spacing w:before="1" w:line="276" w:lineRule="auto"/>
        <w:ind w:right="1072"/>
        <w:rPr>
          <w:rFonts w:ascii="Arial" w:hAnsi="Arial" w:cs="Arial"/>
          <w:sz w:val="24"/>
          <w:szCs w:val="24"/>
        </w:rPr>
      </w:pPr>
      <w:r w:rsidRPr="000D3032">
        <w:rPr>
          <w:rFonts w:ascii="Arial" w:hAnsi="Arial" w:cs="Arial"/>
          <w:b/>
          <w:sz w:val="24"/>
          <w:szCs w:val="24"/>
        </w:rPr>
        <w:t>Loan covenant violations</w:t>
      </w:r>
      <w:r>
        <w:rPr>
          <w:rFonts w:ascii="Arial" w:hAnsi="Arial" w:cs="Arial"/>
          <w:sz w:val="24"/>
          <w:szCs w:val="24"/>
        </w:rPr>
        <w:t xml:space="preserve"> were noted that had not been acknowledged to the customer (reservation of rights) or reviewed by the approving person or committee.</w:t>
      </w:r>
    </w:p>
    <w:p w14:paraId="11BFE4D8" w14:textId="77777777" w:rsidR="00E44560" w:rsidRDefault="00E44560" w:rsidP="00E44560">
      <w:pPr>
        <w:tabs>
          <w:tab w:val="left" w:pos="1439"/>
          <w:tab w:val="left" w:pos="1440"/>
        </w:tabs>
        <w:spacing w:before="1" w:line="276" w:lineRule="auto"/>
        <w:ind w:right="1072"/>
        <w:rPr>
          <w:rFonts w:ascii="Arial" w:hAnsi="Arial" w:cs="Arial"/>
          <w:sz w:val="24"/>
          <w:szCs w:val="24"/>
        </w:rPr>
      </w:pPr>
    </w:p>
    <w:p w14:paraId="09BAEB91" w14:textId="3CE39C80" w:rsidR="00E44560" w:rsidRPr="00E44560" w:rsidRDefault="00E44560" w:rsidP="00E44560">
      <w:pPr>
        <w:pStyle w:val="ListParagraph"/>
        <w:numPr>
          <w:ilvl w:val="0"/>
          <w:numId w:val="7"/>
        </w:numPr>
        <w:tabs>
          <w:tab w:val="left" w:pos="1439"/>
          <w:tab w:val="left" w:pos="1440"/>
        </w:tabs>
        <w:spacing w:line="276" w:lineRule="auto"/>
        <w:ind w:right="1173"/>
        <w:rPr>
          <w:rFonts w:ascii="Arial" w:hAnsi="Arial" w:cs="Arial"/>
          <w:sz w:val="24"/>
          <w:szCs w:val="24"/>
        </w:rPr>
      </w:pPr>
      <w:r w:rsidRPr="00E44560">
        <w:rPr>
          <w:rFonts w:ascii="Arial" w:hAnsi="Arial" w:cs="Arial"/>
          <w:sz w:val="24"/>
          <w:szCs w:val="24"/>
        </w:rPr>
        <w:t>ABC did not consistently</w:t>
      </w:r>
      <w:r w:rsidRPr="00E44560">
        <w:rPr>
          <w:rFonts w:ascii="Arial" w:hAnsi="Arial" w:cs="Arial"/>
          <w:spacing w:val="-21"/>
          <w:sz w:val="24"/>
          <w:szCs w:val="24"/>
        </w:rPr>
        <w:t xml:space="preserve"> </w:t>
      </w:r>
      <w:r w:rsidRPr="00E44560">
        <w:rPr>
          <w:rFonts w:ascii="Arial" w:hAnsi="Arial" w:cs="Arial"/>
          <w:sz w:val="24"/>
          <w:szCs w:val="24"/>
        </w:rPr>
        <w:t xml:space="preserve">obtain </w:t>
      </w:r>
      <w:r w:rsidRPr="000D3032">
        <w:rPr>
          <w:rFonts w:ascii="Arial" w:hAnsi="Arial" w:cs="Arial"/>
          <w:b/>
          <w:sz w:val="24"/>
          <w:szCs w:val="24"/>
        </w:rPr>
        <w:t xml:space="preserve">updated </w:t>
      </w:r>
      <w:r w:rsidR="0038256D" w:rsidRPr="000D3032">
        <w:rPr>
          <w:rFonts w:ascii="Arial" w:hAnsi="Arial" w:cs="Arial"/>
          <w:b/>
          <w:sz w:val="24"/>
          <w:szCs w:val="24"/>
        </w:rPr>
        <w:t xml:space="preserve">borrower </w:t>
      </w:r>
      <w:r w:rsidRPr="000D3032">
        <w:rPr>
          <w:rFonts w:ascii="Arial" w:hAnsi="Arial" w:cs="Arial"/>
          <w:b/>
          <w:sz w:val="24"/>
          <w:szCs w:val="24"/>
        </w:rPr>
        <w:t>financial</w:t>
      </w:r>
      <w:r w:rsidRPr="000D3032">
        <w:rPr>
          <w:rFonts w:ascii="Arial" w:hAnsi="Arial" w:cs="Arial"/>
          <w:b/>
          <w:spacing w:val="-1"/>
          <w:sz w:val="24"/>
          <w:szCs w:val="24"/>
        </w:rPr>
        <w:t xml:space="preserve"> </w:t>
      </w:r>
      <w:r w:rsidRPr="000D3032">
        <w:rPr>
          <w:rFonts w:ascii="Arial" w:hAnsi="Arial" w:cs="Arial"/>
          <w:b/>
          <w:sz w:val="24"/>
          <w:szCs w:val="24"/>
        </w:rPr>
        <w:t>information</w:t>
      </w:r>
      <w:r w:rsidRPr="00E44560">
        <w:rPr>
          <w:rFonts w:ascii="Arial" w:hAnsi="Arial" w:cs="Arial"/>
          <w:sz w:val="24"/>
          <w:szCs w:val="24"/>
        </w:rPr>
        <w:t>.</w:t>
      </w:r>
      <w:r w:rsidR="003249DE">
        <w:rPr>
          <w:rFonts w:ascii="Arial" w:hAnsi="Arial" w:cs="Arial"/>
          <w:sz w:val="24"/>
          <w:szCs w:val="24"/>
        </w:rPr>
        <w:t xml:space="preserve">  I</w:t>
      </w:r>
      <w:r>
        <w:rPr>
          <w:rFonts w:ascii="Arial" w:hAnsi="Arial" w:cs="Arial"/>
          <w:sz w:val="24"/>
          <w:szCs w:val="24"/>
        </w:rPr>
        <w:t>nstances were noted were updated financial information had not been spread or reviewed.</w:t>
      </w:r>
    </w:p>
    <w:p w14:paraId="62EBDCE2" w14:textId="77777777" w:rsidR="00E44560" w:rsidRDefault="00E44560" w:rsidP="00E44560">
      <w:pPr>
        <w:pStyle w:val="ListParagraph"/>
        <w:tabs>
          <w:tab w:val="left" w:pos="1439"/>
          <w:tab w:val="left" w:pos="1440"/>
        </w:tabs>
        <w:spacing w:line="276" w:lineRule="auto"/>
        <w:ind w:right="1143" w:firstLine="0"/>
        <w:rPr>
          <w:rFonts w:ascii="Arial" w:hAnsi="Arial" w:cs="Arial"/>
          <w:sz w:val="24"/>
          <w:szCs w:val="24"/>
        </w:rPr>
      </w:pPr>
    </w:p>
    <w:p w14:paraId="0D85C7AF" w14:textId="531E2FEC" w:rsidR="006705E2" w:rsidRDefault="004333B7" w:rsidP="00E44560">
      <w:pPr>
        <w:pStyle w:val="ListParagraph"/>
        <w:numPr>
          <w:ilvl w:val="1"/>
          <w:numId w:val="1"/>
        </w:numPr>
        <w:tabs>
          <w:tab w:val="left" w:pos="1439"/>
          <w:tab w:val="left" w:pos="1440"/>
        </w:tabs>
        <w:spacing w:line="276" w:lineRule="auto"/>
        <w:ind w:right="1143"/>
        <w:rPr>
          <w:rFonts w:ascii="Arial" w:hAnsi="Arial" w:cs="Arial"/>
          <w:sz w:val="24"/>
          <w:szCs w:val="24"/>
        </w:rPr>
      </w:pPr>
      <w:r>
        <w:rPr>
          <w:rFonts w:ascii="Arial" w:hAnsi="Arial" w:cs="Arial"/>
          <w:sz w:val="24"/>
          <w:szCs w:val="24"/>
        </w:rPr>
        <w:t xml:space="preserve">ABC </w:t>
      </w:r>
      <w:r w:rsidR="00DF3B75" w:rsidRPr="00E56AF4">
        <w:rPr>
          <w:rFonts w:ascii="Arial" w:hAnsi="Arial" w:cs="Arial"/>
          <w:sz w:val="24"/>
          <w:szCs w:val="24"/>
        </w:rPr>
        <w:t>renewed loans after a significant change occurred in the bank’s real estate lending markets</w:t>
      </w:r>
      <w:r w:rsidR="006705E2">
        <w:rPr>
          <w:rFonts w:ascii="Arial" w:hAnsi="Arial" w:cs="Arial"/>
          <w:sz w:val="24"/>
          <w:szCs w:val="24"/>
        </w:rPr>
        <w:t xml:space="preserve"> without </w:t>
      </w:r>
      <w:r w:rsidR="00DF3B75" w:rsidRPr="00E56AF4">
        <w:rPr>
          <w:rFonts w:ascii="Arial" w:hAnsi="Arial" w:cs="Arial"/>
          <w:sz w:val="24"/>
          <w:szCs w:val="24"/>
        </w:rPr>
        <w:t>obtain</w:t>
      </w:r>
      <w:r w:rsidR="006705E2">
        <w:rPr>
          <w:rFonts w:ascii="Arial" w:hAnsi="Arial" w:cs="Arial"/>
          <w:sz w:val="24"/>
          <w:szCs w:val="24"/>
        </w:rPr>
        <w:t>ing</w:t>
      </w:r>
      <w:r w:rsidR="00DF3B75" w:rsidRPr="00E56AF4">
        <w:rPr>
          <w:rFonts w:ascii="Arial" w:hAnsi="Arial" w:cs="Arial"/>
          <w:sz w:val="24"/>
          <w:szCs w:val="24"/>
        </w:rPr>
        <w:t xml:space="preserve"> </w:t>
      </w:r>
      <w:r w:rsidR="00DF3B75" w:rsidRPr="000D3032">
        <w:rPr>
          <w:rFonts w:ascii="Arial" w:hAnsi="Arial" w:cs="Arial"/>
          <w:b/>
          <w:sz w:val="24"/>
          <w:szCs w:val="24"/>
        </w:rPr>
        <w:t>updated</w:t>
      </w:r>
      <w:r w:rsidR="00DF3B75" w:rsidRPr="000D3032">
        <w:rPr>
          <w:rFonts w:ascii="Arial" w:hAnsi="Arial" w:cs="Arial"/>
          <w:b/>
          <w:spacing w:val="-17"/>
          <w:sz w:val="24"/>
          <w:szCs w:val="24"/>
        </w:rPr>
        <w:t xml:space="preserve"> </w:t>
      </w:r>
      <w:r w:rsidR="00DF3B75" w:rsidRPr="000D3032">
        <w:rPr>
          <w:rFonts w:ascii="Arial" w:hAnsi="Arial" w:cs="Arial"/>
          <w:b/>
          <w:sz w:val="24"/>
          <w:szCs w:val="24"/>
        </w:rPr>
        <w:t>appraisals</w:t>
      </w:r>
      <w:r w:rsidR="00DF3B75" w:rsidRPr="00E56AF4">
        <w:rPr>
          <w:rFonts w:ascii="Arial" w:hAnsi="Arial" w:cs="Arial"/>
          <w:sz w:val="24"/>
          <w:szCs w:val="24"/>
        </w:rPr>
        <w:t>.</w:t>
      </w:r>
    </w:p>
    <w:p w14:paraId="7112000C" w14:textId="77777777" w:rsidR="0038256D" w:rsidRPr="00E44560" w:rsidRDefault="0038256D" w:rsidP="0038256D">
      <w:pPr>
        <w:pStyle w:val="ListParagraph"/>
        <w:tabs>
          <w:tab w:val="left" w:pos="1439"/>
          <w:tab w:val="left" w:pos="1440"/>
        </w:tabs>
        <w:spacing w:line="276" w:lineRule="auto"/>
        <w:ind w:right="1143" w:firstLine="0"/>
        <w:rPr>
          <w:rFonts w:ascii="Arial" w:hAnsi="Arial" w:cs="Arial"/>
          <w:sz w:val="24"/>
          <w:szCs w:val="24"/>
        </w:rPr>
      </w:pPr>
    </w:p>
    <w:p w14:paraId="57B66876" w14:textId="6CD142B2" w:rsidR="00DF3B75" w:rsidRPr="00E56AF4" w:rsidRDefault="00DF3B75" w:rsidP="0038256D">
      <w:pPr>
        <w:pStyle w:val="BodyText"/>
        <w:spacing w:before="90"/>
        <w:ind w:left="720"/>
        <w:rPr>
          <w:rFonts w:ascii="Arial" w:hAnsi="Arial" w:cs="Arial"/>
        </w:rPr>
      </w:pPr>
      <w:r w:rsidRPr="00E56AF4">
        <w:rPr>
          <w:rFonts w:ascii="Arial" w:hAnsi="Arial" w:cs="Arial"/>
        </w:rPr>
        <w:t>As borrowers defaulted on their loans, ABC’s OREO increased from &lt;$</w:t>
      </w:r>
      <w:r w:rsidR="00E44560" w:rsidRPr="00E56AF4">
        <w:rPr>
          <w:rFonts w:ascii="Arial" w:hAnsi="Arial" w:cs="Arial"/>
        </w:rPr>
        <w:t>400,00</w:t>
      </w:r>
      <w:r w:rsidR="00E44560">
        <w:rPr>
          <w:rFonts w:ascii="Arial" w:hAnsi="Arial" w:cs="Arial"/>
        </w:rPr>
        <w:t>0</w:t>
      </w:r>
      <w:r w:rsidR="00E44560" w:rsidRPr="00E56AF4">
        <w:rPr>
          <w:rFonts w:ascii="Arial" w:hAnsi="Arial" w:cs="Arial"/>
        </w:rPr>
        <w:t xml:space="preserve"> in</w:t>
      </w:r>
      <w:r w:rsidRPr="00E56AF4">
        <w:rPr>
          <w:rFonts w:ascii="Arial" w:hAnsi="Arial" w:cs="Arial"/>
        </w:rPr>
        <w:t xml:space="preserve"> early 2000’</w:t>
      </w:r>
      <w:r w:rsidR="00E44560" w:rsidRPr="00E56AF4">
        <w:rPr>
          <w:rFonts w:ascii="Arial" w:hAnsi="Arial" w:cs="Arial"/>
        </w:rPr>
        <w:t>s to</w:t>
      </w:r>
      <w:r w:rsidRPr="00E56AF4">
        <w:rPr>
          <w:rFonts w:ascii="Arial" w:hAnsi="Arial" w:cs="Arial"/>
        </w:rPr>
        <w:t xml:space="preserve"> &gt;$75 million in the late 2000’s. </w:t>
      </w:r>
    </w:p>
    <w:p w14:paraId="0BD2617E" w14:textId="77777777" w:rsidR="00DF3B75" w:rsidRPr="00E56AF4" w:rsidRDefault="00DF3B75" w:rsidP="00DF3B75">
      <w:pPr>
        <w:tabs>
          <w:tab w:val="left" w:pos="1439"/>
          <w:tab w:val="left" w:pos="1440"/>
        </w:tabs>
        <w:spacing w:before="1" w:line="276" w:lineRule="auto"/>
        <w:ind w:right="1072"/>
        <w:rPr>
          <w:rFonts w:ascii="Arial" w:hAnsi="Arial" w:cs="Arial"/>
          <w:sz w:val="24"/>
          <w:szCs w:val="24"/>
        </w:rPr>
      </w:pPr>
    </w:p>
    <w:p w14:paraId="20F2E475" w14:textId="4E5D873A" w:rsidR="00DF3B75" w:rsidRPr="00E56AF4" w:rsidRDefault="003249DE" w:rsidP="00DF3B75">
      <w:pPr>
        <w:pStyle w:val="BodyText"/>
        <w:spacing w:before="1" w:line="276" w:lineRule="auto"/>
        <w:ind w:left="720" w:right="1081"/>
        <w:rPr>
          <w:rFonts w:ascii="Arial" w:hAnsi="Arial" w:cs="Arial"/>
        </w:rPr>
      </w:pPr>
      <w:r>
        <w:rPr>
          <w:rFonts w:ascii="Arial" w:hAnsi="Arial" w:cs="Arial"/>
        </w:rPr>
        <w:t xml:space="preserve">ABC explored </w:t>
      </w:r>
      <w:r w:rsidR="00E44560">
        <w:rPr>
          <w:rFonts w:ascii="Arial" w:hAnsi="Arial" w:cs="Arial"/>
        </w:rPr>
        <w:t xml:space="preserve">available </w:t>
      </w:r>
      <w:r w:rsidR="00DF3B75" w:rsidRPr="00E56AF4">
        <w:rPr>
          <w:rFonts w:ascii="Arial" w:hAnsi="Arial" w:cs="Arial"/>
        </w:rPr>
        <w:t>alternatives</w:t>
      </w:r>
      <w:r w:rsidR="00E44560">
        <w:rPr>
          <w:rFonts w:ascii="Arial" w:hAnsi="Arial" w:cs="Arial"/>
        </w:rPr>
        <w:t xml:space="preserve"> for raising capital</w:t>
      </w:r>
      <w:r w:rsidR="0038256D">
        <w:rPr>
          <w:rFonts w:ascii="Arial" w:hAnsi="Arial" w:cs="Arial"/>
        </w:rPr>
        <w:t xml:space="preserve"> but </w:t>
      </w:r>
      <w:r>
        <w:rPr>
          <w:rFonts w:ascii="Arial" w:hAnsi="Arial" w:cs="Arial"/>
        </w:rPr>
        <w:t xml:space="preserve">these efforts were </w:t>
      </w:r>
      <w:r w:rsidR="00DF3B75" w:rsidRPr="00E56AF4">
        <w:rPr>
          <w:rFonts w:ascii="Arial" w:hAnsi="Arial" w:cs="Arial"/>
        </w:rPr>
        <w:t>not suc</w:t>
      </w:r>
      <w:r>
        <w:rPr>
          <w:rFonts w:ascii="Arial" w:hAnsi="Arial" w:cs="Arial"/>
        </w:rPr>
        <w:t xml:space="preserve">cessful and the institution </w:t>
      </w:r>
      <w:r w:rsidR="00DF3B75" w:rsidRPr="00E56AF4">
        <w:rPr>
          <w:rFonts w:ascii="Arial" w:hAnsi="Arial" w:cs="Arial"/>
        </w:rPr>
        <w:t>closed</w:t>
      </w:r>
      <w:r>
        <w:rPr>
          <w:rFonts w:ascii="Arial" w:hAnsi="Arial" w:cs="Arial"/>
        </w:rPr>
        <w:t xml:space="preserve"> in 2012</w:t>
      </w:r>
      <w:r w:rsidR="00DF3B75" w:rsidRPr="00E56AF4">
        <w:rPr>
          <w:rFonts w:ascii="Arial" w:hAnsi="Arial" w:cs="Arial"/>
        </w:rPr>
        <w:t>.</w:t>
      </w:r>
    </w:p>
    <w:p w14:paraId="2133337F" w14:textId="77777777" w:rsidR="007C7268" w:rsidRDefault="00696F12"/>
    <w:sectPr w:rsidR="007C7268" w:rsidSect="002658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2D184" w14:textId="77777777" w:rsidR="00696F12" w:rsidRDefault="00696F12" w:rsidP="00ED31C1">
      <w:r>
        <w:separator/>
      </w:r>
    </w:p>
  </w:endnote>
  <w:endnote w:type="continuationSeparator" w:id="0">
    <w:p w14:paraId="2A325F6E" w14:textId="77777777" w:rsidR="00696F12" w:rsidRDefault="00696F12" w:rsidP="00ED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F078" w14:textId="225EE656" w:rsidR="00ED31C1" w:rsidRDefault="00693C56">
    <w:pPr>
      <w:pStyle w:val="Footer"/>
    </w:pPr>
    <w:r>
      <w:t>© Higgins Advisory Services</w:t>
    </w:r>
  </w:p>
  <w:p w14:paraId="302B2DF0" w14:textId="77777777" w:rsidR="00ED31C1" w:rsidRDefault="00ED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7896" w14:textId="77777777" w:rsidR="00696F12" w:rsidRDefault="00696F12" w:rsidP="00ED31C1">
      <w:r>
        <w:separator/>
      </w:r>
    </w:p>
  </w:footnote>
  <w:footnote w:type="continuationSeparator" w:id="0">
    <w:p w14:paraId="1AA86BC6" w14:textId="77777777" w:rsidR="00696F12" w:rsidRDefault="00696F12" w:rsidP="00ED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914"/>
    <w:multiLevelType w:val="hybridMultilevel"/>
    <w:tmpl w:val="70003096"/>
    <w:lvl w:ilvl="0" w:tplc="5FA0DDD8">
      <w:start w:val="2"/>
      <w:numFmt w:val="decimal"/>
      <w:lvlText w:val="(%1)"/>
      <w:lvlJc w:val="left"/>
      <w:pPr>
        <w:ind w:left="981" w:hanging="339"/>
        <w:jc w:val="left"/>
      </w:pPr>
      <w:rPr>
        <w:rFonts w:ascii="Times New Roman" w:eastAsia="Times New Roman" w:hAnsi="Times New Roman" w:cs="Times New Roman" w:hint="default"/>
        <w:spacing w:val="-1"/>
        <w:w w:val="99"/>
        <w:sz w:val="24"/>
        <w:szCs w:val="24"/>
      </w:rPr>
    </w:lvl>
    <w:lvl w:ilvl="1" w:tplc="265E3A88">
      <w:numFmt w:val="bullet"/>
      <w:lvlText w:val="•"/>
      <w:lvlJc w:val="left"/>
      <w:pPr>
        <w:ind w:left="1440" w:hanging="360"/>
      </w:pPr>
      <w:rPr>
        <w:rFonts w:ascii="Arial" w:eastAsia="Arial" w:hAnsi="Arial" w:cs="Arial" w:hint="default"/>
        <w:w w:val="131"/>
        <w:sz w:val="24"/>
        <w:szCs w:val="24"/>
      </w:rPr>
    </w:lvl>
    <w:lvl w:ilvl="2" w:tplc="CB0C380A">
      <w:numFmt w:val="bullet"/>
      <w:lvlText w:val="•"/>
      <w:lvlJc w:val="left"/>
      <w:pPr>
        <w:ind w:left="2517" w:hanging="360"/>
      </w:pPr>
      <w:rPr>
        <w:rFonts w:hint="default"/>
      </w:rPr>
    </w:lvl>
    <w:lvl w:ilvl="3" w:tplc="2A4E7A00">
      <w:numFmt w:val="bullet"/>
      <w:lvlText w:val="•"/>
      <w:lvlJc w:val="left"/>
      <w:pPr>
        <w:ind w:left="3595" w:hanging="360"/>
      </w:pPr>
      <w:rPr>
        <w:rFonts w:hint="default"/>
      </w:rPr>
    </w:lvl>
    <w:lvl w:ilvl="4" w:tplc="BCE4FC42">
      <w:numFmt w:val="bullet"/>
      <w:lvlText w:val="•"/>
      <w:lvlJc w:val="left"/>
      <w:pPr>
        <w:ind w:left="4673" w:hanging="360"/>
      </w:pPr>
      <w:rPr>
        <w:rFonts w:hint="default"/>
      </w:rPr>
    </w:lvl>
    <w:lvl w:ilvl="5" w:tplc="38100CA6">
      <w:numFmt w:val="bullet"/>
      <w:lvlText w:val="•"/>
      <w:lvlJc w:val="left"/>
      <w:pPr>
        <w:ind w:left="5751" w:hanging="360"/>
      </w:pPr>
      <w:rPr>
        <w:rFonts w:hint="default"/>
      </w:rPr>
    </w:lvl>
    <w:lvl w:ilvl="6" w:tplc="9774AEF2">
      <w:numFmt w:val="bullet"/>
      <w:lvlText w:val="•"/>
      <w:lvlJc w:val="left"/>
      <w:pPr>
        <w:ind w:left="6828" w:hanging="360"/>
      </w:pPr>
      <w:rPr>
        <w:rFonts w:hint="default"/>
      </w:rPr>
    </w:lvl>
    <w:lvl w:ilvl="7" w:tplc="E7A09290">
      <w:numFmt w:val="bullet"/>
      <w:lvlText w:val="•"/>
      <w:lvlJc w:val="left"/>
      <w:pPr>
        <w:ind w:left="7906" w:hanging="360"/>
      </w:pPr>
      <w:rPr>
        <w:rFonts w:hint="default"/>
      </w:rPr>
    </w:lvl>
    <w:lvl w:ilvl="8" w:tplc="2E10A000">
      <w:numFmt w:val="bullet"/>
      <w:lvlText w:val="•"/>
      <w:lvlJc w:val="left"/>
      <w:pPr>
        <w:ind w:left="8984" w:hanging="360"/>
      </w:pPr>
      <w:rPr>
        <w:rFonts w:hint="default"/>
      </w:rPr>
    </w:lvl>
  </w:abstractNum>
  <w:abstractNum w:abstractNumId="1" w15:restartNumberingAfterBreak="0">
    <w:nsid w:val="1B170834"/>
    <w:multiLevelType w:val="hybridMultilevel"/>
    <w:tmpl w:val="E06C3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7501D"/>
    <w:multiLevelType w:val="hybridMultilevel"/>
    <w:tmpl w:val="7B2E2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BD903D9"/>
    <w:multiLevelType w:val="hybridMultilevel"/>
    <w:tmpl w:val="83B66552"/>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cs="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cs="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cs="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4" w15:restartNumberingAfterBreak="0">
    <w:nsid w:val="5A04267A"/>
    <w:multiLevelType w:val="hybridMultilevel"/>
    <w:tmpl w:val="39108B1C"/>
    <w:lvl w:ilvl="0" w:tplc="CB0C380A">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DD53D3"/>
    <w:multiLevelType w:val="hybridMultilevel"/>
    <w:tmpl w:val="F5D46868"/>
    <w:lvl w:ilvl="0" w:tplc="CB0C380A">
      <w:numFmt w:val="bullet"/>
      <w:lvlText w:val="•"/>
      <w:lvlJc w:val="left"/>
      <w:pPr>
        <w:ind w:left="1701" w:hanging="360"/>
      </w:pPr>
      <w:rPr>
        <w:rFonts w:hint="default"/>
      </w:rPr>
    </w:lvl>
    <w:lvl w:ilvl="1" w:tplc="04090003" w:tentative="1">
      <w:start w:val="1"/>
      <w:numFmt w:val="bullet"/>
      <w:lvlText w:val="o"/>
      <w:lvlJc w:val="left"/>
      <w:pPr>
        <w:ind w:left="2421" w:hanging="360"/>
      </w:pPr>
      <w:rPr>
        <w:rFonts w:ascii="Courier New" w:hAnsi="Courier New" w:cs="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cs="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cs="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6" w15:restartNumberingAfterBreak="0">
    <w:nsid w:val="6F380B8D"/>
    <w:multiLevelType w:val="hybridMultilevel"/>
    <w:tmpl w:val="785E3404"/>
    <w:lvl w:ilvl="0" w:tplc="CB0C380A">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5"/>
    <w:rsid w:val="000440F3"/>
    <w:rsid w:val="000D3032"/>
    <w:rsid w:val="001D60B4"/>
    <w:rsid w:val="00207CB3"/>
    <w:rsid w:val="0026583B"/>
    <w:rsid w:val="003249DE"/>
    <w:rsid w:val="0034457D"/>
    <w:rsid w:val="003452AB"/>
    <w:rsid w:val="00347F93"/>
    <w:rsid w:val="0038256D"/>
    <w:rsid w:val="004333B7"/>
    <w:rsid w:val="004E57A3"/>
    <w:rsid w:val="006705E2"/>
    <w:rsid w:val="00693C56"/>
    <w:rsid w:val="00696F12"/>
    <w:rsid w:val="006B0912"/>
    <w:rsid w:val="007A764E"/>
    <w:rsid w:val="00940249"/>
    <w:rsid w:val="009539AD"/>
    <w:rsid w:val="009A6427"/>
    <w:rsid w:val="00AC0765"/>
    <w:rsid w:val="00AC1A61"/>
    <w:rsid w:val="00D37EA4"/>
    <w:rsid w:val="00DD6A30"/>
    <w:rsid w:val="00DF3B75"/>
    <w:rsid w:val="00E15F08"/>
    <w:rsid w:val="00E44560"/>
    <w:rsid w:val="00ED31C1"/>
    <w:rsid w:val="00F80A21"/>
    <w:rsid w:val="00FB2552"/>
    <w:rsid w:val="00FD1F92"/>
    <w:rsid w:val="00FE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56F9F9"/>
  <w15:chartTrackingRefBased/>
  <w15:docId w15:val="{27FB5D82-7503-F14C-8234-72ADA526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F3B75"/>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rsid w:val="00DF3B75"/>
    <w:pPr>
      <w:spacing w:before="236"/>
      <w:ind w:left="3907"/>
      <w:outlineLvl w:val="0"/>
    </w:pPr>
    <w:rPr>
      <w:rFonts w:ascii="Arial" w:eastAsia="Arial" w:hAnsi="Arial" w:cs="Ari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3B75"/>
    <w:rPr>
      <w:rFonts w:ascii="Arial" w:eastAsia="Arial" w:hAnsi="Arial" w:cs="Arial"/>
      <w:b/>
      <w:bCs/>
      <w:sz w:val="34"/>
      <w:szCs w:val="34"/>
    </w:rPr>
  </w:style>
  <w:style w:type="paragraph" w:styleId="BodyText">
    <w:name w:val="Body Text"/>
    <w:basedOn w:val="Normal"/>
    <w:link w:val="BodyTextChar"/>
    <w:uiPriority w:val="1"/>
    <w:qFormat/>
    <w:rsid w:val="00DF3B75"/>
    <w:rPr>
      <w:sz w:val="24"/>
      <w:szCs w:val="24"/>
    </w:rPr>
  </w:style>
  <w:style w:type="character" w:customStyle="1" w:styleId="BodyTextChar">
    <w:name w:val="Body Text Char"/>
    <w:basedOn w:val="DefaultParagraphFont"/>
    <w:link w:val="BodyText"/>
    <w:uiPriority w:val="1"/>
    <w:rsid w:val="00DF3B75"/>
    <w:rPr>
      <w:rFonts w:ascii="Times New Roman" w:eastAsia="Times New Roman" w:hAnsi="Times New Roman" w:cs="Times New Roman"/>
    </w:rPr>
  </w:style>
  <w:style w:type="paragraph" w:styleId="ListParagraph">
    <w:name w:val="List Paragraph"/>
    <w:basedOn w:val="Normal"/>
    <w:uiPriority w:val="1"/>
    <w:qFormat/>
    <w:rsid w:val="00DF3B75"/>
    <w:pPr>
      <w:ind w:left="1440" w:hanging="360"/>
    </w:pPr>
  </w:style>
  <w:style w:type="paragraph" w:styleId="Header">
    <w:name w:val="header"/>
    <w:basedOn w:val="Normal"/>
    <w:link w:val="HeaderChar"/>
    <w:uiPriority w:val="99"/>
    <w:unhideWhenUsed/>
    <w:rsid w:val="00ED31C1"/>
    <w:pPr>
      <w:tabs>
        <w:tab w:val="center" w:pos="4680"/>
        <w:tab w:val="right" w:pos="9360"/>
      </w:tabs>
    </w:pPr>
  </w:style>
  <w:style w:type="character" w:customStyle="1" w:styleId="HeaderChar">
    <w:name w:val="Header Char"/>
    <w:basedOn w:val="DefaultParagraphFont"/>
    <w:link w:val="Header"/>
    <w:uiPriority w:val="99"/>
    <w:rsid w:val="00ED31C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ED31C1"/>
    <w:pPr>
      <w:tabs>
        <w:tab w:val="center" w:pos="4680"/>
        <w:tab w:val="right" w:pos="9360"/>
      </w:tabs>
    </w:pPr>
  </w:style>
  <w:style w:type="character" w:customStyle="1" w:styleId="FooterChar">
    <w:name w:val="Footer Char"/>
    <w:basedOn w:val="DefaultParagraphFont"/>
    <w:link w:val="Footer"/>
    <w:uiPriority w:val="99"/>
    <w:rsid w:val="00ED31C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Higgins</dc:creator>
  <cp:keywords/>
  <dc:description/>
  <cp:lastModifiedBy>Gary Higgins</cp:lastModifiedBy>
  <cp:revision>9</cp:revision>
  <cp:lastPrinted>2018-07-12T17:09:00Z</cp:lastPrinted>
  <dcterms:created xsi:type="dcterms:W3CDTF">2018-07-14T16:55:00Z</dcterms:created>
  <dcterms:modified xsi:type="dcterms:W3CDTF">2021-07-12T18:22:00Z</dcterms:modified>
</cp:coreProperties>
</file>