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2BA4" w14:textId="7A3FA0E1" w:rsidR="00916620" w:rsidRDefault="00916620">
      <w:pPr>
        <w:rPr>
          <w:sz w:val="16"/>
          <w:szCs w:val="16"/>
        </w:rPr>
      </w:pPr>
    </w:p>
    <w:p w14:paraId="5E4F1F85" w14:textId="1C791845" w:rsidR="00F463D9" w:rsidRDefault="00F463D9">
      <w:pPr>
        <w:rPr>
          <w:sz w:val="16"/>
          <w:szCs w:val="16"/>
        </w:rPr>
      </w:pPr>
    </w:p>
    <w:p w14:paraId="6CA4D892" w14:textId="77777777" w:rsidR="00F463D9" w:rsidRPr="00916620" w:rsidRDefault="00F463D9">
      <w:pPr>
        <w:rPr>
          <w:sz w:val="16"/>
          <w:szCs w:val="16"/>
        </w:rPr>
      </w:pPr>
    </w:p>
    <w:p w14:paraId="384A7CE6" w14:textId="77777777" w:rsidR="00916620" w:rsidRPr="00916620" w:rsidRDefault="00916620">
      <w:pPr>
        <w:rPr>
          <w:sz w:val="16"/>
          <w:szCs w:val="16"/>
        </w:rPr>
      </w:pPr>
    </w:p>
    <w:tbl>
      <w:tblPr>
        <w:tblStyle w:val="TableGrid"/>
        <w:tblW w:w="14884" w:type="dxa"/>
        <w:tblInd w:w="-270" w:type="dxa"/>
        <w:tblBorders>
          <w:top w:val="single" w:sz="4" w:space="0" w:color="37758E"/>
          <w:left w:val="single" w:sz="4" w:space="0" w:color="37758E"/>
          <w:bottom w:val="single" w:sz="4" w:space="0" w:color="37758E"/>
          <w:right w:val="single" w:sz="4" w:space="0" w:color="37758E"/>
          <w:insideH w:val="single" w:sz="4" w:space="0" w:color="37758E"/>
          <w:insideV w:val="single" w:sz="4" w:space="0" w:color="37758E"/>
        </w:tblBorders>
        <w:tblCellMar>
          <w:top w:w="43" w:type="dxa"/>
          <w:left w:w="115" w:type="dxa"/>
          <w:bottom w:w="43" w:type="dxa"/>
          <w:right w:w="115" w:type="dxa"/>
        </w:tblCellMar>
        <w:tblLook w:val="04A0" w:firstRow="1" w:lastRow="0" w:firstColumn="1" w:lastColumn="0" w:noHBand="0" w:noVBand="1"/>
      </w:tblPr>
      <w:tblGrid>
        <w:gridCol w:w="692"/>
        <w:gridCol w:w="2569"/>
        <w:gridCol w:w="4252"/>
        <w:gridCol w:w="7371"/>
      </w:tblGrid>
      <w:tr w:rsidR="00A045A5" w:rsidRPr="0066080F" w14:paraId="002FF670" w14:textId="77777777" w:rsidTr="00916620">
        <w:trPr>
          <w:cantSplit/>
          <w:trHeight w:val="19"/>
        </w:trPr>
        <w:tc>
          <w:tcPr>
            <w:tcW w:w="692" w:type="dxa"/>
            <w:tcBorders>
              <w:top w:val="nil"/>
              <w:left w:val="nil"/>
              <w:bottom w:val="single" w:sz="4" w:space="0" w:color="auto"/>
            </w:tcBorders>
            <w:shd w:val="clear" w:color="auto" w:fill="0079C2"/>
            <w:tcMar>
              <w:top w:w="43" w:type="dxa"/>
              <w:left w:w="86" w:type="dxa"/>
              <w:bottom w:w="43" w:type="dxa"/>
              <w:right w:w="86" w:type="dxa"/>
            </w:tcMar>
          </w:tcPr>
          <w:p w14:paraId="4CC6C84F" w14:textId="77777777" w:rsidR="00A045A5" w:rsidRPr="00A045A5" w:rsidRDefault="00A045A5" w:rsidP="00A0213F">
            <w:pPr>
              <w:adjustRightInd w:val="0"/>
              <w:snapToGrid w:val="0"/>
              <w:spacing w:after="20" w:line="192" w:lineRule="auto"/>
              <w:jc w:val="center"/>
              <w:rPr>
                <w:rFonts w:ascii="Arial" w:hAnsi="Arial" w:cs="Arial"/>
                <w:color w:val="FFFFFF" w:themeColor="background1"/>
                <w:spacing w:val="-6"/>
                <w:sz w:val="18"/>
                <w:szCs w:val="18"/>
              </w:rPr>
            </w:pPr>
          </w:p>
        </w:tc>
        <w:tc>
          <w:tcPr>
            <w:tcW w:w="2569" w:type="dxa"/>
            <w:tcBorders>
              <w:top w:val="nil"/>
              <w:bottom w:val="single" w:sz="4" w:space="0" w:color="auto"/>
            </w:tcBorders>
            <w:shd w:val="clear" w:color="auto" w:fill="0079C2"/>
          </w:tcPr>
          <w:p w14:paraId="00FF61D5" w14:textId="77777777" w:rsidR="00A045A5" w:rsidRPr="00A045A5" w:rsidRDefault="00A045A5" w:rsidP="00A0213F">
            <w:pPr>
              <w:adjustRightInd w:val="0"/>
              <w:snapToGrid w:val="0"/>
              <w:spacing w:after="20" w:line="192" w:lineRule="auto"/>
              <w:rPr>
                <w:rFonts w:ascii="Arial" w:hAnsi="Arial" w:cs="Arial"/>
                <w:b/>
                <w:color w:val="FFFFFF" w:themeColor="background1"/>
                <w:spacing w:val="-6"/>
              </w:rPr>
            </w:pPr>
            <w:r w:rsidRPr="00A045A5">
              <w:rPr>
                <w:rFonts w:ascii="Arial" w:hAnsi="Arial" w:cs="Arial"/>
                <w:b/>
                <w:color w:val="FFFFFF" w:themeColor="background1"/>
                <w:spacing w:val="-6"/>
              </w:rPr>
              <w:t>THEME</w:t>
            </w:r>
          </w:p>
        </w:tc>
        <w:tc>
          <w:tcPr>
            <w:tcW w:w="4252" w:type="dxa"/>
            <w:tcBorders>
              <w:top w:val="nil"/>
              <w:bottom w:val="single" w:sz="4" w:space="0" w:color="auto"/>
            </w:tcBorders>
            <w:shd w:val="clear" w:color="auto" w:fill="0079C2"/>
            <w:tcMar>
              <w:top w:w="43" w:type="dxa"/>
              <w:left w:w="86" w:type="dxa"/>
              <w:bottom w:w="43" w:type="dxa"/>
              <w:right w:w="86" w:type="dxa"/>
            </w:tcMar>
          </w:tcPr>
          <w:p w14:paraId="4DC03DAB" w14:textId="4BCC557E" w:rsidR="00A045A5" w:rsidRPr="00A045A5" w:rsidRDefault="00A045A5" w:rsidP="00E672D9">
            <w:pPr>
              <w:adjustRightInd w:val="0"/>
              <w:snapToGrid w:val="0"/>
              <w:spacing w:after="60" w:line="192" w:lineRule="auto"/>
              <w:rPr>
                <w:rFonts w:ascii="Arial" w:hAnsi="Arial" w:cs="Arial"/>
                <w:color w:val="FFFFFF" w:themeColor="background1"/>
                <w:spacing w:val="-6"/>
                <w:sz w:val="18"/>
                <w:szCs w:val="18"/>
              </w:rPr>
            </w:pPr>
            <w:r w:rsidRPr="00A045A5">
              <w:rPr>
                <w:rFonts w:ascii="Arial" w:hAnsi="Arial" w:cs="Arial"/>
                <w:b/>
                <w:color w:val="FFFFFF" w:themeColor="background1"/>
                <w:spacing w:val="-6"/>
              </w:rPr>
              <w:t>ONLINE SEMINAR</w:t>
            </w:r>
          </w:p>
        </w:tc>
        <w:tc>
          <w:tcPr>
            <w:tcW w:w="7371" w:type="dxa"/>
            <w:tcBorders>
              <w:top w:val="nil"/>
              <w:bottom w:val="single" w:sz="4" w:space="0" w:color="auto"/>
              <w:right w:val="nil"/>
            </w:tcBorders>
            <w:shd w:val="clear" w:color="auto" w:fill="0079C2"/>
            <w:tcMar>
              <w:top w:w="43" w:type="dxa"/>
              <w:left w:w="86" w:type="dxa"/>
              <w:bottom w:w="43" w:type="dxa"/>
              <w:right w:w="86" w:type="dxa"/>
            </w:tcMar>
          </w:tcPr>
          <w:p w14:paraId="630AAAE7" w14:textId="77777777" w:rsidR="00A045A5" w:rsidRPr="00A045A5" w:rsidRDefault="00A045A5" w:rsidP="00A0213F">
            <w:pPr>
              <w:adjustRightInd w:val="0"/>
              <w:snapToGrid w:val="0"/>
              <w:spacing w:after="20" w:line="192" w:lineRule="auto"/>
              <w:rPr>
                <w:rFonts w:ascii="Arial" w:hAnsi="Arial" w:cs="Arial"/>
                <w:b/>
                <w:color w:val="FFFFFF" w:themeColor="background1"/>
                <w:spacing w:val="-6"/>
                <w:sz w:val="22"/>
                <w:szCs w:val="22"/>
              </w:rPr>
            </w:pPr>
            <w:r w:rsidRPr="00A045A5">
              <w:rPr>
                <w:rFonts w:ascii="Arial" w:hAnsi="Arial" w:cs="Arial"/>
                <w:b/>
                <w:color w:val="FFFFFF" w:themeColor="background1"/>
                <w:spacing w:val="-6"/>
              </w:rPr>
              <w:t>DESCRIPTION</w:t>
            </w:r>
            <w:r w:rsidRPr="00A045A5">
              <w:rPr>
                <w:rFonts w:ascii="Arial" w:hAnsi="Arial" w:cs="Arial"/>
                <w:b/>
                <w:color w:val="FFFFFF" w:themeColor="background1"/>
                <w:spacing w:val="-6"/>
                <w:sz w:val="22"/>
                <w:szCs w:val="22"/>
              </w:rPr>
              <w:t xml:space="preserve"> </w:t>
            </w:r>
          </w:p>
          <w:p w14:paraId="2B4B3B55" w14:textId="079E24FF" w:rsidR="00A045A5" w:rsidRPr="00A045A5" w:rsidRDefault="00A045A5" w:rsidP="00A0213F">
            <w:pPr>
              <w:adjustRightInd w:val="0"/>
              <w:snapToGrid w:val="0"/>
              <w:spacing w:after="20" w:line="192" w:lineRule="auto"/>
              <w:rPr>
                <w:rFonts w:ascii="Arial" w:hAnsi="Arial" w:cs="Arial"/>
                <w:b/>
                <w:color w:val="FFFFFF" w:themeColor="background1"/>
                <w:spacing w:val="-6"/>
                <w:sz w:val="22"/>
                <w:szCs w:val="22"/>
              </w:rPr>
            </w:pPr>
            <w:r w:rsidRPr="00A045A5">
              <w:rPr>
                <w:rFonts w:ascii="Arial" w:hAnsi="Arial" w:cs="Arial"/>
                <w:color w:val="FFFFFF" w:themeColor="background1"/>
                <w:spacing w:val="-6"/>
                <w:sz w:val="18"/>
                <w:szCs w:val="18"/>
              </w:rPr>
              <w:t xml:space="preserve">Seminars can be found on your </w:t>
            </w:r>
            <w:r w:rsidR="00E672D9">
              <w:rPr>
                <w:rFonts w:ascii="Arial" w:hAnsi="Arial" w:cs="Arial"/>
                <w:color w:val="FFFFFF" w:themeColor="background1"/>
                <w:spacing w:val="-6"/>
                <w:sz w:val="18"/>
                <w:szCs w:val="18"/>
              </w:rPr>
              <w:t xml:space="preserve">EAP </w:t>
            </w:r>
            <w:r w:rsidRPr="00A045A5">
              <w:rPr>
                <w:rFonts w:ascii="Arial" w:hAnsi="Arial" w:cs="Arial"/>
                <w:color w:val="FFFFFF" w:themeColor="background1"/>
                <w:spacing w:val="-6"/>
                <w:sz w:val="18"/>
                <w:szCs w:val="18"/>
              </w:rPr>
              <w:t>home page, or you can search for them by title.</w:t>
            </w:r>
          </w:p>
        </w:tc>
      </w:tr>
      <w:tr w:rsidR="00A045A5" w:rsidRPr="0066080F" w14:paraId="32741EA3" w14:textId="77777777" w:rsidTr="00DC3130">
        <w:trPr>
          <w:cantSplit/>
          <w:trHeight w:val="264"/>
        </w:trPr>
        <w:tc>
          <w:tcPr>
            <w:tcW w:w="692" w:type="dxa"/>
            <w:tcBorders>
              <w:top w:val="single" w:sz="4" w:space="0" w:color="auto"/>
              <w:left w:val="nil"/>
            </w:tcBorders>
            <w:tcMar>
              <w:top w:w="43" w:type="dxa"/>
              <w:left w:w="86" w:type="dxa"/>
              <w:bottom w:w="43" w:type="dxa"/>
              <w:right w:w="86" w:type="dxa"/>
            </w:tcMar>
            <w:vAlign w:val="center"/>
          </w:tcPr>
          <w:p w14:paraId="4B0DCFE6"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JAN</w:t>
            </w:r>
          </w:p>
        </w:tc>
        <w:tc>
          <w:tcPr>
            <w:tcW w:w="2569" w:type="dxa"/>
            <w:tcBorders>
              <w:top w:val="single" w:sz="4" w:space="0" w:color="auto"/>
            </w:tcBorders>
            <w:vAlign w:val="center"/>
          </w:tcPr>
          <w:p w14:paraId="6BED80A5"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rPr>
              <w:t>Self-Care and Nature</w:t>
            </w:r>
          </w:p>
        </w:tc>
        <w:tc>
          <w:tcPr>
            <w:tcW w:w="4252" w:type="dxa"/>
            <w:tcBorders>
              <w:top w:val="single" w:sz="4" w:space="0" w:color="auto"/>
            </w:tcBorders>
            <w:tcMar>
              <w:top w:w="43" w:type="dxa"/>
              <w:left w:w="86" w:type="dxa"/>
              <w:bottom w:w="43" w:type="dxa"/>
              <w:right w:w="86" w:type="dxa"/>
            </w:tcMar>
          </w:tcPr>
          <w:p w14:paraId="116D3D38"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Rays of Sunshine</w:t>
            </w:r>
          </w:p>
          <w:p w14:paraId="26D249D0"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Jan 17th</w:t>
            </w:r>
          </w:p>
        </w:tc>
        <w:tc>
          <w:tcPr>
            <w:tcW w:w="7371" w:type="dxa"/>
            <w:tcBorders>
              <w:top w:val="single" w:sz="4" w:space="0" w:color="auto"/>
              <w:right w:val="nil"/>
            </w:tcBorders>
            <w:tcMar>
              <w:top w:w="43" w:type="dxa"/>
              <w:left w:w="86" w:type="dxa"/>
              <w:bottom w:w="43" w:type="dxa"/>
              <w:right w:w="86" w:type="dxa"/>
            </w:tcMar>
            <w:vAlign w:val="center"/>
          </w:tcPr>
          <w:p w14:paraId="6C667A70"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Explore the benefits of getting outdoors as a part of your self-care routine.</w:t>
            </w:r>
          </w:p>
        </w:tc>
      </w:tr>
      <w:tr w:rsidR="00A045A5" w:rsidRPr="0066080F" w14:paraId="69F072E1" w14:textId="77777777" w:rsidTr="00DC3130">
        <w:trPr>
          <w:cantSplit/>
          <w:trHeight w:val="19"/>
        </w:trPr>
        <w:tc>
          <w:tcPr>
            <w:tcW w:w="692" w:type="dxa"/>
            <w:tcBorders>
              <w:left w:val="nil"/>
            </w:tcBorders>
            <w:tcMar>
              <w:top w:w="43" w:type="dxa"/>
              <w:left w:w="86" w:type="dxa"/>
              <w:bottom w:w="43" w:type="dxa"/>
              <w:right w:w="86" w:type="dxa"/>
            </w:tcMar>
            <w:vAlign w:val="center"/>
          </w:tcPr>
          <w:p w14:paraId="2BC8281C"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FEB</w:t>
            </w:r>
          </w:p>
        </w:tc>
        <w:tc>
          <w:tcPr>
            <w:tcW w:w="2569" w:type="dxa"/>
            <w:vAlign w:val="center"/>
          </w:tcPr>
          <w:p w14:paraId="38B78C4B" w14:textId="77777777" w:rsidR="00A045A5" w:rsidRPr="00916620" w:rsidRDefault="00A045A5" w:rsidP="00A0213F">
            <w:pPr>
              <w:adjustRightInd w:val="0"/>
              <w:snapToGrid w:val="0"/>
              <w:spacing w:after="20" w:line="192" w:lineRule="auto"/>
              <w:rPr>
                <w:rFonts w:ascii="Arial" w:hAnsi="Arial" w:cs="Arial"/>
                <w:b/>
                <w:bCs/>
                <w:color w:val="0079C2"/>
                <w:spacing w:val="-4"/>
                <w:sz w:val="20"/>
                <w:szCs w:val="20"/>
                <w:lang w:val="en-IN"/>
              </w:rPr>
            </w:pPr>
            <w:r w:rsidRPr="00916620">
              <w:rPr>
                <w:rFonts w:ascii="Arial" w:hAnsi="Arial" w:cs="Arial"/>
                <w:b/>
                <w:bCs/>
                <w:color w:val="0079C2"/>
                <w:spacing w:val="-4"/>
                <w:sz w:val="20"/>
                <w:szCs w:val="20"/>
                <w:lang w:val="en-IN"/>
              </w:rPr>
              <w:t>Overcoming Loneliness</w:t>
            </w:r>
          </w:p>
        </w:tc>
        <w:tc>
          <w:tcPr>
            <w:tcW w:w="4252" w:type="dxa"/>
            <w:tcMar>
              <w:top w:w="43" w:type="dxa"/>
              <w:left w:w="86" w:type="dxa"/>
              <w:bottom w:w="43" w:type="dxa"/>
              <w:right w:w="86" w:type="dxa"/>
            </w:tcMar>
          </w:tcPr>
          <w:p w14:paraId="748DF614"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Tackling Loneliness</w:t>
            </w:r>
          </w:p>
          <w:p w14:paraId="05265F7F"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Feb 21st</w:t>
            </w:r>
          </w:p>
        </w:tc>
        <w:tc>
          <w:tcPr>
            <w:tcW w:w="7371" w:type="dxa"/>
            <w:tcBorders>
              <w:right w:val="nil"/>
            </w:tcBorders>
            <w:tcMar>
              <w:top w:w="43" w:type="dxa"/>
              <w:left w:w="86" w:type="dxa"/>
              <w:bottom w:w="43" w:type="dxa"/>
              <w:right w:w="86" w:type="dxa"/>
            </w:tcMar>
            <w:vAlign w:val="center"/>
          </w:tcPr>
          <w:p w14:paraId="2C2A32ED"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Learn practical steps on how to overcome loneliness and build better connection with others.</w:t>
            </w:r>
          </w:p>
        </w:tc>
      </w:tr>
      <w:tr w:rsidR="00A045A5" w:rsidRPr="0066080F" w14:paraId="38B22306" w14:textId="77777777" w:rsidTr="00DC3130">
        <w:trPr>
          <w:cantSplit/>
          <w:trHeight w:val="19"/>
        </w:trPr>
        <w:tc>
          <w:tcPr>
            <w:tcW w:w="692" w:type="dxa"/>
            <w:tcBorders>
              <w:left w:val="nil"/>
            </w:tcBorders>
            <w:tcMar>
              <w:top w:w="43" w:type="dxa"/>
              <w:left w:w="86" w:type="dxa"/>
              <w:bottom w:w="43" w:type="dxa"/>
              <w:right w:w="86" w:type="dxa"/>
            </w:tcMar>
            <w:vAlign w:val="center"/>
          </w:tcPr>
          <w:p w14:paraId="48741833"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MAR</w:t>
            </w:r>
          </w:p>
        </w:tc>
        <w:tc>
          <w:tcPr>
            <w:tcW w:w="2569" w:type="dxa"/>
            <w:vAlign w:val="center"/>
          </w:tcPr>
          <w:p w14:paraId="28D13D09"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lang w:val="en-IN"/>
              </w:rPr>
              <w:t>Setting Boundaries</w:t>
            </w:r>
          </w:p>
        </w:tc>
        <w:tc>
          <w:tcPr>
            <w:tcW w:w="4252" w:type="dxa"/>
            <w:tcMar>
              <w:top w:w="43" w:type="dxa"/>
              <w:left w:w="86" w:type="dxa"/>
              <w:bottom w:w="43" w:type="dxa"/>
              <w:right w:w="86" w:type="dxa"/>
            </w:tcMar>
          </w:tcPr>
          <w:p w14:paraId="7E1F5A4F"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Set Boundaries and Boost Your Wellbeing</w:t>
            </w:r>
          </w:p>
          <w:p w14:paraId="13D872F3"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Mar 21st</w:t>
            </w:r>
          </w:p>
        </w:tc>
        <w:tc>
          <w:tcPr>
            <w:tcW w:w="7371" w:type="dxa"/>
            <w:tcBorders>
              <w:right w:val="nil"/>
            </w:tcBorders>
            <w:tcMar>
              <w:top w:w="43" w:type="dxa"/>
              <w:left w:w="86" w:type="dxa"/>
              <w:bottom w:w="43" w:type="dxa"/>
              <w:right w:w="86" w:type="dxa"/>
            </w:tcMar>
            <w:vAlign w:val="center"/>
          </w:tcPr>
          <w:p w14:paraId="71BE9DA1"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Look at the benefits of having healthy boundaries, and how we can practice setting boundaries in everyday lives.</w:t>
            </w:r>
          </w:p>
        </w:tc>
      </w:tr>
      <w:tr w:rsidR="00A045A5" w:rsidRPr="0066080F" w14:paraId="72A3B999" w14:textId="77777777" w:rsidTr="00DC3130">
        <w:trPr>
          <w:cantSplit/>
          <w:trHeight w:val="19"/>
        </w:trPr>
        <w:tc>
          <w:tcPr>
            <w:tcW w:w="692" w:type="dxa"/>
            <w:tcBorders>
              <w:left w:val="nil"/>
            </w:tcBorders>
            <w:tcMar>
              <w:top w:w="43" w:type="dxa"/>
              <w:left w:w="86" w:type="dxa"/>
              <w:bottom w:w="43" w:type="dxa"/>
              <w:right w:w="86" w:type="dxa"/>
            </w:tcMar>
            <w:vAlign w:val="center"/>
          </w:tcPr>
          <w:p w14:paraId="24F668A2"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APR</w:t>
            </w:r>
          </w:p>
        </w:tc>
        <w:tc>
          <w:tcPr>
            <w:tcW w:w="2569" w:type="dxa"/>
            <w:vAlign w:val="center"/>
          </w:tcPr>
          <w:p w14:paraId="1C18E552"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rPr>
              <w:t>Sustainability</w:t>
            </w:r>
          </w:p>
        </w:tc>
        <w:tc>
          <w:tcPr>
            <w:tcW w:w="4252" w:type="dxa"/>
            <w:tcMar>
              <w:top w:w="43" w:type="dxa"/>
              <w:left w:w="86" w:type="dxa"/>
              <w:bottom w:w="43" w:type="dxa"/>
              <w:right w:w="86" w:type="dxa"/>
            </w:tcMar>
          </w:tcPr>
          <w:p w14:paraId="022245CC"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Guiding Your Family to Greener Living</w:t>
            </w:r>
          </w:p>
          <w:p w14:paraId="77DC4FC3"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Apr 18th</w:t>
            </w:r>
          </w:p>
        </w:tc>
        <w:tc>
          <w:tcPr>
            <w:tcW w:w="7371" w:type="dxa"/>
            <w:tcBorders>
              <w:right w:val="nil"/>
            </w:tcBorders>
            <w:tcMar>
              <w:top w:w="43" w:type="dxa"/>
              <w:left w:w="86" w:type="dxa"/>
              <w:bottom w:w="43" w:type="dxa"/>
              <w:right w:w="86" w:type="dxa"/>
            </w:tcMar>
            <w:vAlign w:val="center"/>
          </w:tcPr>
          <w:p w14:paraId="59ECF5EF"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 xml:space="preserve">Explore the steps towards greener living and how to guide our family to living more sustainably.   </w:t>
            </w:r>
          </w:p>
        </w:tc>
      </w:tr>
      <w:tr w:rsidR="00A045A5" w:rsidRPr="0066080F" w14:paraId="6DAE8893" w14:textId="77777777" w:rsidTr="00DC3130">
        <w:trPr>
          <w:cantSplit/>
          <w:trHeight w:val="19"/>
        </w:trPr>
        <w:tc>
          <w:tcPr>
            <w:tcW w:w="692" w:type="dxa"/>
            <w:tcBorders>
              <w:left w:val="nil"/>
            </w:tcBorders>
            <w:tcMar>
              <w:top w:w="43" w:type="dxa"/>
              <w:left w:w="86" w:type="dxa"/>
              <w:bottom w:w="43" w:type="dxa"/>
              <w:right w:w="86" w:type="dxa"/>
            </w:tcMar>
            <w:vAlign w:val="center"/>
          </w:tcPr>
          <w:p w14:paraId="0E141261"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MAY</w:t>
            </w:r>
          </w:p>
        </w:tc>
        <w:tc>
          <w:tcPr>
            <w:tcW w:w="2569" w:type="dxa"/>
            <w:vAlign w:val="center"/>
          </w:tcPr>
          <w:p w14:paraId="3311C704"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lang w:val="en-IN"/>
              </w:rPr>
              <w:t>Listening</w:t>
            </w:r>
          </w:p>
        </w:tc>
        <w:tc>
          <w:tcPr>
            <w:tcW w:w="4252" w:type="dxa"/>
            <w:tcMar>
              <w:top w:w="43" w:type="dxa"/>
              <w:left w:w="86" w:type="dxa"/>
              <w:bottom w:w="43" w:type="dxa"/>
              <w:right w:w="86" w:type="dxa"/>
            </w:tcMar>
          </w:tcPr>
          <w:p w14:paraId="4C0CABA2"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Are You a Good Listener?</w:t>
            </w:r>
          </w:p>
          <w:p w14:paraId="1D21551F"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May 16th</w:t>
            </w:r>
          </w:p>
        </w:tc>
        <w:tc>
          <w:tcPr>
            <w:tcW w:w="7371" w:type="dxa"/>
            <w:tcBorders>
              <w:right w:val="nil"/>
            </w:tcBorders>
            <w:tcMar>
              <w:top w:w="43" w:type="dxa"/>
              <w:left w:w="86" w:type="dxa"/>
              <w:bottom w:w="43" w:type="dxa"/>
              <w:right w:w="86" w:type="dxa"/>
            </w:tcMar>
            <w:vAlign w:val="center"/>
          </w:tcPr>
          <w:p w14:paraId="22CB55FD" w14:textId="7158103F"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 xml:space="preserve">Discussion on the benefits of being a good </w:t>
            </w:r>
            <w:r w:rsidR="00916620" w:rsidRPr="00916620">
              <w:rPr>
                <w:rFonts w:ascii="Arial" w:hAnsi="Arial" w:cs="Arial"/>
                <w:color w:val="A6A6A6"/>
                <w:spacing w:val="-4"/>
                <w:sz w:val="20"/>
                <w:szCs w:val="20"/>
              </w:rPr>
              <w:t>listener and</w:t>
            </w:r>
            <w:r w:rsidRPr="00916620">
              <w:rPr>
                <w:rFonts w:ascii="Arial" w:hAnsi="Arial" w:cs="Arial"/>
                <w:color w:val="A6A6A6"/>
                <w:spacing w:val="-4"/>
                <w:sz w:val="20"/>
                <w:szCs w:val="20"/>
              </w:rPr>
              <w:t xml:space="preserve"> learn practical tips on how to be a better listener.</w:t>
            </w:r>
          </w:p>
        </w:tc>
      </w:tr>
      <w:tr w:rsidR="00A045A5" w:rsidRPr="0066080F" w14:paraId="264493A9" w14:textId="77777777" w:rsidTr="00DC3130">
        <w:trPr>
          <w:cantSplit/>
          <w:trHeight w:val="19"/>
        </w:trPr>
        <w:tc>
          <w:tcPr>
            <w:tcW w:w="692" w:type="dxa"/>
            <w:tcBorders>
              <w:left w:val="nil"/>
            </w:tcBorders>
            <w:tcMar>
              <w:top w:w="43" w:type="dxa"/>
              <w:left w:w="86" w:type="dxa"/>
              <w:bottom w:w="43" w:type="dxa"/>
              <w:right w:w="86" w:type="dxa"/>
            </w:tcMar>
            <w:vAlign w:val="center"/>
          </w:tcPr>
          <w:p w14:paraId="5BBA5C0C"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JUN</w:t>
            </w:r>
          </w:p>
        </w:tc>
        <w:tc>
          <w:tcPr>
            <w:tcW w:w="2569" w:type="dxa"/>
            <w:vAlign w:val="center"/>
          </w:tcPr>
          <w:p w14:paraId="176A20E3"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lang w:val="en-IN"/>
              </w:rPr>
              <w:t>Points of View</w:t>
            </w:r>
          </w:p>
        </w:tc>
        <w:tc>
          <w:tcPr>
            <w:tcW w:w="4252" w:type="dxa"/>
            <w:tcMar>
              <w:top w:w="43" w:type="dxa"/>
              <w:left w:w="86" w:type="dxa"/>
              <w:bottom w:w="43" w:type="dxa"/>
              <w:right w:w="86" w:type="dxa"/>
            </w:tcMar>
          </w:tcPr>
          <w:p w14:paraId="5D7C66DA"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Keeping an Open Mind</w:t>
            </w:r>
          </w:p>
          <w:p w14:paraId="0882907E"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Jun 20th</w:t>
            </w:r>
          </w:p>
        </w:tc>
        <w:tc>
          <w:tcPr>
            <w:tcW w:w="7371" w:type="dxa"/>
            <w:tcBorders>
              <w:right w:val="nil"/>
            </w:tcBorders>
            <w:tcMar>
              <w:top w:w="43" w:type="dxa"/>
              <w:left w:w="86" w:type="dxa"/>
              <w:bottom w:w="43" w:type="dxa"/>
              <w:right w:w="86" w:type="dxa"/>
            </w:tcMar>
            <w:vAlign w:val="center"/>
          </w:tcPr>
          <w:p w14:paraId="13EDD657"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Discover how to keep an open mind about yourself and others and the benefits of keeping an open mind.</w:t>
            </w:r>
          </w:p>
        </w:tc>
      </w:tr>
      <w:tr w:rsidR="00A045A5" w:rsidRPr="0066080F" w14:paraId="6D034FF5" w14:textId="77777777" w:rsidTr="00DC3130">
        <w:trPr>
          <w:cantSplit/>
          <w:trHeight w:val="19"/>
        </w:trPr>
        <w:tc>
          <w:tcPr>
            <w:tcW w:w="692" w:type="dxa"/>
            <w:tcBorders>
              <w:left w:val="nil"/>
            </w:tcBorders>
            <w:tcMar>
              <w:top w:w="43" w:type="dxa"/>
              <w:left w:w="86" w:type="dxa"/>
              <w:bottom w:w="43" w:type="dxa"/>
              <w:right w:w="86" w:type="dxa"/>
            </w:tcMar>
            <w:vAlign w:val="center"/>
          </w:tcPr>
          <w:p w14:paraId="2FE17BE2"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JUL</w:t>
            </w:r>
          </w:p>
        </w:tc>
        <w:tc>
          <w:tcPr>
            <w:tcW w:w="2569" w:type="dxa"/>
            <w:vAlign w:val="center"/>
          </w:tcPr>
          <w:p w14:paraId="785A5D7F"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lang w:val="en-IN"/>
              </w:rPr>
              <w:t>Parenting Questions</w:t>
            </w:r>
          </w:p>
        </w:tc>
        <w:tc>
          <w:tcPr>
            <w:tcW w:w="4252" w:type="dxa"/>
            <w:tcMar>
              <w:top w:w="43" w:type="dxa"/>
              <w:left w:w="86" w:type="dxa"/>
              <w:bottom w:w="43" w:type="dxa"/>
              <w:right w:w="86" w:type="dxa"/>
            </w:tcMar>
          </w:tcPr>
          <w:p w14:paraId="3DC1CD85"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Overcoming Parental Guilt</w:t>
            </w:r>
          </w:p>
          <w:p w14:paraId="4EF62EDF"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Jul 18th</w:t>
            </w:r>
          </w:p>
        </w:tc>
        <w:tc>
          <w:tcPr>
            <w:tcW w:w="7371" w:type="dxa"/>
            <w:tcBorders>
              <w:right w:val="nil"/>
            </w:tcBorders>
            <w:tcMar>
              <w:top w:w="43" w:type="dxa"/>
              <w:left w:w="86" w:type="dxa"/>
              <w:bottom w:w="43" w:type="dxa"/>
              <w:right w:w="86" w:type="dxa"/>
            </w:tcMar>
            <w:vAlign w:val="center"/>
          </w:tcPr>
          <w:p w14:paraId="55710CC2"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Find out how to overcome parental guilt and continue to do your best.</w:t>
            </w:r>
          </w:p>
        </w:tc>
      </w:tr>
      <w:tr w:rsidR="00A045A5" w:rsidRPr="0066080F" w14:paraId="244077EA" w14:textId="77777777" w:rsidTr="00DC3130">
        <w:trPr>
          <w:cantSplit/>
          <w:trHeight w:val="19"/>
        </w:trPr>
        <w:tc>
          <w:tcPr>
            <w:tcW w:w="692" w:type="dxa"/>
            <w:tcBorders>
              <w:left w:val="nil"/>
            </w:tcBorders>
            <w:tcMar>
              <w:top w:w="43" w:type="dxa"/>
              <w:left w:w="86" w:type="dxa"/>
              <w:bottom w:w="43" w:type="dxa"/>
              <w:right w:w="86" w:type="dxa"/>
            </w:tcMar>
            <w:vAlign w:val="center"/>
          </w:tcPr>
          <w:p w14:paraId="331F4FE8"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AUG</w:t>
            </w:r>
          </w:p>
        </w:tc>
        <w:tc>
          <w:tcPr>
            <w:tcW w:w="2569" w:type="dxa"/>
            <w:vAlign w:val="center"/>
          </w:tcPr>
          <w:p w14:paraId="53495251"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lang w:val="en-IN"/>
              </w:rPr>
              <w:t>Money Management</w:t>
            </w:r>
          </w:p>
        </w:tc>
        <w:tc>
          <w:tcPr>
            <w:tcW w:w="4252" w:type="dxa"/>
            <w:tcMar>
              <w:top w:w="43" w:type="dxa"/>
              <w:left w:w="86" w:type="dxa"/>
              <w:bottom w:w="43" w:type="dxa"/>
              <w:right w:w="86" w:type="dxa"/>
            </w:tcMar>
          </w:tcPr>
          <w:p w14:paraId="3EE7E1DD"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Digging Deep</w:t>
            </w:r>
          </w:p>
          <w:p w14:paraId="60D0BF76"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Aug 15th</w:t>
            </w:r>
          </w:p>
        </w:tc>
        <w:tc>
          <w:tcPr>
            <w:tcW w:w="7371" w:type="dxa"/>
            <w:tcBorders>
              <w:right w:val="nil"/>
            </w:tcBorders>
            <w:tcMar>
              <w:top w:w="43" w:type="dxa"/>
              <w:left w:w="86" w:type="dxa"/>
              <w:bottom w:w="43" w:type="dxa"/>
              <w:right w:w="86" w:type="dxa"/>
            </w:tcMar>
            <w:vAlign w:val="center"/>
          </w:tcPr>
          <w:p w14:paraId="434E0C73"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Explore how to have smart financial management and learn practical steps on getting out of financial ruts.</w:t>
            </w:r>
          </w:p>
        </w:tc>
      </w:tr>
      <w:tr w:rsidR="00A045A5" w:rsidRPr="0066080F" w14:paraId="64538DA6" w14:textId="77777777" w:rsidTr="00DC3130">
        <w:trPr>
          <w:cantSplit/>
          <w:trHeight w:val="19"/>
        </w:trPr>
        <w:tc>
          <w:tcPr>
            <w:tcW w:w="692" w:type="dxa"/>
            <w:tcBorders>
              <w:left w:val="nil"/>
            </w:tcBorders>
            <w:tcMar>
              <w:top w:w="43" w:type="dxa"/>
              <w:left w:w="86" w:type="dxa"/>
              <w:bottom w:w="43" w:type="dxa"/>
              <w:right w:w="86" w:type="dxa"/>
            </w:tcMar>
            <w:vAlign w:val="center"/>
          </w:tcPr>
          <w:p w14:paraId="58450135"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SEP</w:t>
            </w:r>
          </w:p>
        </w:tc>
        <w:tc>
          <w:tcPr>
            <w:tcW w:w="2569" w:type="dxa"/>
            <w:vAlign w:val="center"/>
          </w:tcPr>
          <w:p w14:paraId="6A4C26BE"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lang w:val="en-IN"/>
              </w:rPr>
              <w:t>Gratitude Mindset</w:t>
            </w:r>
          </w:p>
        </w:tc>
        <w:tc>
          <w:tcPr>
            <w:tcW w:w="4252" w:type="dxa"/>
            <w:tcMar>
              <w:top w:w="43" w:type="dxa"/>
              <w:left w:w="86" w:type="dxa"/>
              <w:bottom w:w="43" w:type="dxa"/>
              <w:right w:w="86" w:type="dxa"/>
            </w:tcMar>
          </w:tcPr>
          <w:p w14:paraId="067734B9"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The Gratitude Habit</w:t>
            </w:r>
          </w:p>
          <w:p w14:paraId="262E4DB0"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Sep 19th</w:t>
            </w:r>
          </w:p>
        </w:tc>
        <w:tc>
          <w:tcPr>
            <w:tcW w:w="7371" w:type="dxa"/>
            <w:tcBorders>
              <w:right w:val="nil"/>
            </w:tcBorders>
            <w:tcMar>
              <w:top w:w="43" w:type="dxa"/>
              <w:left w:w="86" w:type="dxa"/>
              <w:bottom w:w="43" w:type="dxa"/>
              <w:right w:w="86" w:type="dxa"/>
            </w:tcMar>
            <w:vAlign w:val="center"/>
          </w:tcPr>
          <w:p w14:paraId="5967206B"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Discover how to build gratitude habits in our daily lives.</w:t>
            </w:r>
          </w:p>
        </w:tc>
      </w:tr>
      <w:tr w:rsidR="00A045A5" w:rsidRPr="0066080F" w14:paraId="77DE92C5" w14:textId="77777777" w:rsidTr="00DC3130">
        <w:trPr>
          <w:cantSplit/>
          <w:trHeight w:val="19"/>
        </w:trPr>
        <w:tc>
          <w:tcPr>
            <w:tcW w:w="692" w:type="dxa"/>
            <w:tcBorders>
              <w:left w:val="nil"/>
            </w:tcBorders>
            <w:tcMar>
              <w:top w:w="43" w:type="dxa"/>
              <w:left w:w="86" w:type="dxa"/>
              <w:bottom w:w="43" w:type="dxa"/>
              <w:right w:w="86" w:type="dxa"/>
            </w:tcMar>
            <w:vAlign w:val="center"/>
          </w:tcPr>
          <w:p w14:paraId="746DFEE8"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OCT</w:t>
            </w:r>
          </w:p>
        </w:tc>
        <w:tc>
          <w:tcPr>
            <w:tcW w:w="2569" w:type="dxa"/>
            <w:vAlign w:val="center"/>
          </w:tcPr>
          <w:p w14:paraId="3AD8EFCF" w14:textId="77777777" w:rsidR="00A045A5" w:rsidRPr="00916620" w:rsidRDefault="00A045A5" w:rsidP="00A0213F">
            <w:pPr>
              <w:adjustRightInd w:val="0"/>
              <w:snapToGrid w:val="0"/>
              <w:spacing w:after="20" w:line="192" w:lineRule="auto"/>
              <w:rPr>
                <w:rFonts w:ascii="Arial" w:hAnsi="Arial" w:cs="Arial"/>
                <w:b/>
                <w:color w:val="0079C2"/>
                <w:spacing w:val="-4"/>
                <w:sz w:val="20"/>
                <w:szCs w:val="20"/>
              </w:rPr>
            </w:pPr>
            <w:r w:rsidRPr="00916620">
              <w:rPr>
                <w:rFonts w:ascii="Arial" w:hAnsi="Arial" w:cs="Arial"/>
                <w:b/>
                <w:color w:val="0079C2"/>
                <w:spacing w:val="-4"/>
                <w:sz w:val="20"/>
                <w:szCs w:val="20"/>
              </w:rPr>
              <w:t>Reactions</w:t>
            </w:r>
          </w:p>
        </w:tc>
        <w:tc>
          <w:tcPr>
            <w:tcW w:w="4252" w:type="dxa"/>
            <w:tcMar>
              <w:top w:w="43" w:type="dxa"/>
              <w:left w:w="86" w:type="dxa"/>
              <w:bottom w:w="43" w:type="dxa"/>
              <w:right w:w="86" w:type="dxa"/>
            </w:tcMar>
          </w:tcPr>
          <w:p w14:paraId="2F74B6D6" w14:textId="6C86FAE8"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Pause.</w:t>
            </w:r>
            <w:r w:rsidR="00916620" w:rsidRPr="00916620">
              <w:rPr>
                <w:rFonts w:ascii="Arial" w:hAnsi="Arial" w:cs="Arial"/>
                <w:b/>
                <w:iCs/>
                <w:color w:val="ED7D31" w:themeColor="accent2"/>
                <w:spacing w:val="-4"/>
                <w:sz w:val="20"/>
                <w:szCs w:val="20"/>
                <w:lang w:val="en-IN"/>
              </w:rPr>
              <w:t xml:space="preserve"> </w:t>
            </w:r>
            <w:r w:rsidRPr="00916620">
              <w:rPr>
                <w:rFonts w:ascii="Arial" w:hAnsi="Arial" w:cs="Arial"/>
                <w:b/>
                <w:iCs/>
                <w:color w:val="ED7D31" w:themeColor="accent2"/>
                <w:spacing w:val="-4"/>
                <w:sz w:val="20"/>
                <w:szCs w:val="20"/>
                <w:lang w:val="en-IN"/>
              </w:rPr>
              <w:t>Breathe.</w:t>
            </w:r>
            <w:r w:rsidR="00916620" w:rsidRPr="00916620">
              <w:rPr>
                <w:rFonts w:ascii="Arial" w:hAnsi="Arial" w:cs="Arial"/>
                <w:b/>
                <w:iCs/>
                <w:color w:val="ED7D31" w:themeColor="accent2"/>
                <w:spacing w:val="-4"/>
                <w:sz w:val="20"/>
                <w:szCs w:val="20"/>
                <w:lang w:val="en-IN"/>
              </w:rPr>
              <w:t xml:space="preserve"> </w:t>
            </w:r>
            <w:r w:rsidRPr="00916620">
              <w:rPr>
                <w:rFonts w:ascii="Arial" w:hAnsi="Arial" w:cs="Arial"/>
                <w:b/>
                <w:iCs/>
                <w:color w:val="ED7D31" w:themeColor="accent2"/>
                <w:spacing w:val="-4"/>
                <w:sz w:val="20"/>
                <w:szCs w:val="20"/>
                <w:lang w:val="en-IN"/>
              </w:rPr>
              <w:t>Resume</w:t>
            </w:r>
            <w:r w:rsidR="00916620" w:rsidRPr="00916620">
              <w:rPr>
                <w:rFonts w:ascii="Arial" w:hAnsi="Arial" w:cs="Arial"/>
                <w:b/>
                <w:iCs/>
                <w:color w:val="ED7D31" w:themeColor="accent2"/>
                <w:spacing w:val="-4"/>
                <w:sz w:val="20"/>
                <w:szCs w:val="20"/>
                <w:lang w:val="en-IN"/>
              </w:rPr>
              <w:t>.</w:t>
            </w:r>
          </w:p>
          <w:p w14:paraId="2B96F308"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Oct 17th</w:t>
            </w:r>
          </w:p>
        </w:tc>
        <w:tc>
          <w:tcPr>
            <w:tcW w:w="7371" w:type="dxa"/>
            <w:tcBorders>
              <w:right w:val="nil"/>
            </w:tcBorders>
            <w:tcMar>
              <w:top w:w="43" w:type="dxa"/>
              <w:left w:w="86" w:type="dxa"/>
              <w:bottom w:w="43" w:type="dxa"/>
              <w:right w:w="86" w:type="dxa"/>
            </w:tcMar>
            <w:vAlign w:val="center"/>
          </w:tcPr>
          <w:p w14:paraId="58F631BA"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Learn how to notice our own thoughts and how we react to them, and channel energy when handling challenges.</w:t>
            </w:r>
          </w:p>
        </w:tc>
      </w:tr>
      <w:tr w:rsidR="00A045A5" w:rsidRPr="0066080F" w14:paraId="0951295C" w14:textId="77777777" w:rsidTr="00DC3130">
        <w:trPr>
          <w:cantSplit/>
          <w:trHeight w:val="477"/>
        </w:trPr>
        <w:tc>
          <w:tcPr>
            <w:tcW w:w="692" w:type="dxa"/>
            <w:tcBorders>
              <w:left w:val="nil"/>
            </w:tcBorders>
            <w:tcMar>
              <w:top w:w="43" w:type="dxa"/>
              <w:left w:w="86" w:type="dxa"/>
              <w:bottom w:w="43" w:type="dxa"/>
              <w:right w:w="86" w:type="dxa"/>
            </w:tcMar>
            <w:vAlign w:val="center"/>
          </w:tcPr>
          <w:p w14:paraId="30B1867B"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NOV</w:t>
            </w:r>
          </w:p>
        </w:tc>
        <w:tc>
          <w:tcPr>
            <w:tcW w:w="2569" w:type="dxa"/>
            <w:vAlign w:val="center"/>
          </w:tcPr>
          <w:p w14:paraId="2580DA5A" w14:textId="77777777" w:rsidR="00A045A5" w:rsidRPr="00916620" w:rsidRDefault="00A045A5" w:rsidP="00A0213F">
            <w:pPr>
              <w:adjustRightInd w:val="0"/>
              <w:snapToGrid w:val="0"/>
              <w:spacing w:after="20" w:line="192" w:lineRule="auto"/>
              <w:rPr>
                <w:rFonts w:ascii="Arial" w:hAnsi="Arial" w:cs="Arial"/>
                <w:b/>
                <w:iCs/>
                <w:color w:val="0079C2"/>
                <w:spacing w:val="-4"/>
                <w:sz w:val="20"/>
                <w:szCs w:val="20"/>
                <w:lang w:val="en-IN"/>
              </w:rPr>
            </w:pPr>
            <w:r w:rsidRPr="00916620">
              <w:rPr>
                <w:rFonts w:ascii="Arial" w:hAnsi="Arial" w:cs="Arial"/>
                <w:b/>
                <w:iCs/>
                <w:color w:val="0079C2"/>
                <w:spacing w:val="-4"/>
                <w:sz w:val="20"/>
                <w:szCs w:val="20"/>
                <w:lang w:val="en-IN"/>
              </w:rPr>
              <w:t>Caregiving</w:t>
            </w:r>
          </w:p>
        </w:tc>
        <w:tc>
          <w:tcPr>
            <w:tcW w:w="4252" w:type="dxa"/>
            <w:tcMar>
              <w:top w:w="43" w:type="dxa"/>
              <w:left w:w="86" w:type="dxa"/>
              <w:bottom w:w="43" w:type="dxa"/>
              <w:right w:w="86" w:type="dxa"/>
            </w:tcMar>
          </w:tcPr>
          <w:p w14:paraId="5B4574FA"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Caring for the Caregiver</w:t>
            </w:r>
          </w:p>
          <w:p w14:paraId="12A58333"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Nov 21st</w:t>
            </w:r>
          </w:p>
        </w:tc>
        <w:tc>
          <w:tcPr>
            <w:tcW w:w="7371" w:type="dxa"/>
            <w:tcBorders>
              <w:right w:val="nil"/>
            </w:tcBorders>
            <w:tcMar>
              <w:top w:w="43" w:type="dxa"/>
              <w:left w:w="86" w:type="dxa"/>
              <w:bottom w:w="43" w:type="dxa"/>
              <w:right w:w="86" w:type="dxa"/>
            </w:tcMar>
            <w:vAlign w:val="center"/>
          </w:tcPr>
          <w:p w14:paraId="72A6EFF9"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Explore how to take care of yourself and cope with caregiver stress while supporting your loved ones.</w:t>
            </w:r>
          </w:p>
        </w:tc>
      </w:tr>
      <w:tr w:rsidR="00A045A5" w:rsidRPr="0066080F" w14:paraId="07152279" w14:textId="77777777" w:rsidTr="00DC3130">
        <w:trPr>
          <w:cantSplit/>
          <w:trHeight w:val="19"/>
        </w:trPr>
        <w:tc>
          <w:tcPr>
            <w:tcW w:w="692" w:type="dxa"/>
            <w:tcBorders>
              <w:left w:val="nil"/>
            </w:tcBorders>
            <w:tcMar>
              <w:top w:w="43" w:type="dxa"/>
              <w:left w:w="86" w:type="dxa"/>
              <w:bottom w:w="43" w:type="dxa"/>
              <w:right w:w="86" w:type="dxa"/>
            </w:tcMar>
            <w:vAlign w:val="center"/>
          </w:tcPr>
          <w:p w14:paraId="09AC5251" w14:textId="77777777" w:rsidR="00A045A5" w:rsidRPr="00916620" w:rsidRDefault="00A045A5" w:rsidP="00A0213F">
            <w:pPr>
              <w:adjustRightInd w:val="0"/>
              <w:snapToGrid w:val="0"/>
              <w:spacing w:after="20" w:line="192" w:lineRule="auto"/>
              <w:jc w:val="center"/>
              <w:rPr>
                <w:rFonts w:ascii="Arial" w:hAnsi="Arial" w:cs="Arial"/>
                <w:color w:val="A6A6A6"/>
                <w:sz w:val="20"/>
                <w:szCs w:val="20"/>
              </w:rPr>
            </w:pPr>
            <w:r w:rsidRPr="00916620">
              <w:rPr>
                <w:rFonts w:ascii="Arial" w:hAnsi="Arial" w:cs="Arial"/>
                <w:color w:val="A6A6A6"/>
                <w:sz w:val="20"/>
                <w:szCs w:val="20"/>
              </w:rPr>
              <w:t>DEC</w:t>
            </w:r>
          </w:p>
        </w:tc>
        <w:tc>
          <w:tcPr>
            <w:tcW w:w="2569" w:type="dxa"/>
            <w:vAlign w:val="center"/>
          </w:tcPr>
          <w:p w14:paraId="32DEA121" w14:textId="77777777" w:rsidR="00A045A5" w:rsidRPr="00916620" w:rsidRDefault="00A045A5" w:rsidP="00A0213F">
            <w:pPr>
              <w:adjustRightInd w:val="0"/>
              <w:snapToGrid w:val="0"/>
              <w:spacing w:after="20" w:line="192" w:lineRule="auto"/>
              <w:rPr>
                <w:rFonts w:ascii="Arial" w:hAnsi="Arial" w:cs="Arial"/>
                <w:b/>
                <w:iCs/>
                <w:color w:val="0079C2"/>
                <w:spacing w:val="-4"/>
                <w:sz w:val="20"/>
                <w:szCs w:val="20"/>
                <w:lang w:val="en-IN"/>
              </w:rPr>
            </w:pPr>
            <w:r w:rsidRPr="00916620">
              <w:rPr>
                <w:rFonts w:ascii="Arial" w:hAnsi="Arial" w:cs="Arial"/>
                <w:b/>
                <w:iCs/>
                <w:color w:val="0079C2"/>
                <w:spacing w:val="-4"/>
                <w:sz w:val="20"/>
                <w:szCs w:val="20"/>
                <w:lang w:val="en-IN"/>
              </w:rPr>
              <w:t>Embrace Change</w:t>
            </w:r>
          </w:p>
        </w:tc>
        <w:tc>
          <w:tcPr>
            <w:tcW w:w="4252" w:type="dxa"/>
            <w:tcMar>
              <w:top w:w="43" w:type="dxa"/>
              <w:left w:w="86" w:type="dxa"/>
              <w:bottom w:w="43" w:type="dxa"/>
              <w:right w:w="86" w:type="dxa"/>
            </w:tcMar>
          </w:tcPr>
          <w:p w14:paraId="21D82F34" w14:textId="77777777" w:rsidR="00A045A5" w:rsidRPr="00916620" w:rsidRDefault="00A045A5" w:rsidP="00A0213F">
            <w:pPr>
              <w:adjustRightInd w:val="0"/>
              <w:snapToGrid w:val="0"/>
              <w:spacing w:after="40" w:line="192" w:lineRule="auto"/>
              <w:rPr>
                <w:rFonts w:ascii="Arial" w:hAnsi="Arial" w:cs="Arial"/>
                <w:b/>
                <w:iCs/>
                <w:color w:val="ED7D31" w:themeColor="accent2"/>
                <w:spacing w:val="-4"/>
                <w:sz w:val="20"/>
                <w:szCs w:val="20"/>
                <w:lang w:val="en-IN"/>
              </w:rPr>
            </w:pPr>
            <w:r w:rsidRPr="00916620">
              <w:rPr>
                <w:rFonts w:ascii="Arial" w:hAnsi="Arial" w:cs="Arial"/>
                <w:b/>
                <w:iCs/>
                <w:color w:val="ED7D31" w:themeColor="accent2"/>
                <w:spacing w:val="-4"/>
                <w:sz w:val="20"/>
                <w:szCs w:val="20"/>
                <w:lang w:val="en-IN"/>
              </w:rPr>
              <w:t>Making a Change</w:t>
            </w:r>
          </w:p>
          <w:p w14:paraId="7D97AAEA" w14:textId="77777777" w:rsidR="00A045A5" w:rsidRPr="00916620" w:rsidRDefault="00A045A5" w:rsidP="00A0213F">
            <w:pPr>
              <w:adjustRightInd w:val="0"/>
              <w:snapToGrid w:val="0"/>
              <w:spacing w:after="40" w:line="192" w:lineRule="auto"/>
              <w:rPr>
                <w:rFonts w:ascii="Arial" w:hAnsi="Arial" w:cs="Arial"/>
                <w:iCs/>
                <w:color w:val="A6A6A6"/>
                <w:spacing w:val="-4"/>
                <w:sz w:val="18"/>
                <w:szCs w:val="18"/>
                <w:lang w:val="en-IN"/>
              </w:rPr>
            </w:pPr>
            <w:r w:rsidRPr="00916620">
              <w:rPr>
                <w:rFonts w:ascii="Arial" w:hAnsi="Arial" w:cs="Arial"/>
                <w:iCs/>
                <w:color w:val="A6A6A6"/>
                <w:spacing w:val="-4"/>
                <w:sz w:val="18"/>
                <w:szCs w:val="18"/>
                <w:lang w:val="en-IN"/>
              </w:rPr>
              <w:t xml:space="preserve">Available on Demand Starting </w:t>
            </w:r>
            <w:r w:rsidRPr="00916620">
              <w:rPr>
                <w:rFonts w:ascii="Arial" w:hAnsi="Arial" w:cs="Arial"/>
                <w:b/>
                <w:bCs/>
                <w:iCs/>
                <w:color w:val="A6A6A6"/>
                <w:spacing w:val="-4"/>
                <w:sz w:val="18"/>
                <w:szCs w:val="18"/>
                <w:lang w:val="en-IN"/>
              </w:rPr>
              <w:t>Dec 19th</w:t>
            </w:r>
          </w:p>
        </w:tc>
        <w:tc>
          <w:tcPr>
            <w:tcW w:w="7371" w:type="dxa"/>
            <w:tcBorders>
              <w:right w:val="nil"/>
            </w:tcBorders>
            <w:tcMar>
              <w:top w:w="43" w:type="dxa"/>
              <w:left w:w="86" w:type="dxa"/>
              <w:bottom w:w="43" w:type="dxa"/>
              <w:right w:w="86" w:type="dxa"/>
            </w:tcMar>
            <w:vAlign w:val="center"/>
          </w:tcPr>
          <w:p w14:paraId="3E84C8B8" w14:textId="77777777" w:rsidR="00A045A5" w:rsidRPr="00916620" w:rsidRDefault="00A045A5" w:rsidP="00DC3130">
            <w:pPr>
              <w:adjustRightInd w:val="0"/>
              <w:snapToGrid w:val="0"/>
              <w:spacing w:after="20" w:line="216" w:lineRule="auto"/>
              <w:rPr>
                <w:rFonts w:ascii="Arial" w:hAnsi="Arial" w:cs="Arial"/>
                <w:color w:val="A6A6A6"/>
                <w:spacing w:val="-4"/>
                <w:sz w:val="20"/>
                <w:szCs w:val="20"/>
                <w:lang w:val="en-IN"/>
              </w:rPr>
            </w:pPr>
            <w:r w:rsidRPr="00916620">
              <w:rPr>
                <w:rFonts w:ascii="Arial" w:hAnsi="Arial" w:cs="Arial"/>
                <w:color w:val="A6A6A6"/>
                <w:spacing w:val="-4"/>
                <w:sz w:val="20"/>
                <w:szCs w:val="20"/>
              </w:rPr>
              <w:t>Learn how to make a change for the better and learn practical tips to embrace the discomfort of change.</w:t>
            </w:r>
          </w:p>
        </w:tc>
      </w:tr>
    </w:tbl>
    <w:p w14:paraId="47CE741D" w14:textId="6551AB5F" w:rsidR="00A045A5" w:rsidRPr="00F463D9" w:rsidRDefault="00A045A5">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A045A5" w14:paraId="46C0146C" w14:textId="77777777" w:rsidTr="00F463D9">
        <w:trPr>
          <w:trHeight w:val="666"/>
        </w:trPr>
        <w:tc>
          <w:tcPr>
            <w:tcW w:w="7195" w:type="dxa"/>
            <w:vAlign w:val="bottom"/>
          </w:tcPr>
          <w:p w14:paraId="0C98DF50" w14:textId="4DC018F7" w:rsidR="00A045A5" w:rsidRPr="00A67D58" w:rsidRDefault="00A67D58" w:rsidP="00916620">
            <w:pPr>
              <w:rPr>
                <w:rFonts w:ascii="Arial" w:hAnsi="Arial" w:cs="Arial"/>
                <w:b/>
                <w:bCs/>
                <w:color w:val="A6A6A6"/>
                <w:sz w:val="20"/>
                <w:szCs w:val="20"/>
              </w:rPr>
            </w:pPr>
            <w:r w:rsidRPr="00A67D58">
              <w:rPr>
                <w:rFonts w:ascii="Arial" w:hAnsi="Arial" w:cs="Arial"/>
                <w:b/>
                <w:bCs/>
                <w:color w:val="A6A6A6"/>
                <w:sz w:val="20"/>
                <w:szCs w:val="20"/>
              </w:rPr>
              <w:t>To access:</w:t>
            </w:r>
          </w:p>
          <w:p w14:paraId="0C94913F" w14:textId="5E159456" w:rsidR="00916620" w:rsidRPr="00916620" w:rsidRDefault="00A67D58" w:rsidP="00916620">
            <w:pPr>
              <w:rPr>
                <w:rFonts w:ascii="Arial" w:hAnsi="Arial" w:cs="Arial"/>
                <w:color w:val="A6A6A6"/>
                <w:sz w:val="20"/>
                <w:szCs w:val="20"/>
              </w:rPr>
            </w:pPr>
            <w:r>
              <w:rPr>
                <w:rFonts w:ascii="Arial" w:hAnsi="Arial" w:cs="Arial"/>
                <w:b/>
                <w:bCs/>
                <w:color w:val="0079C2"/>
                <w:sz w:val="20"/>
                <w:szCs w:val="20"/>
              </w:rPr>
              <w:t>www.anthemeap.com</w:t>
            </w:r>
          </w:p>
          <w:p w14:paraId="20B14AF7" w14:textId="77777777" w:rsidR="00916620" w:rsidRDefault="00916620" w:rsidP="00916620">
            <w:pPr>
              <w:rPr>
                <w:rFonts w:ascii="Arial" w:hAnsi="Arial" w:cs="Arial"/>
                <w:color w:val="A6A6A6"/>
                <w:sz w:val="20"/>
                <w:szCs w:val="20"/>
              </w:rPr>
            </w:pPr>
            <w:r w:rsidRPr="00916620">
              <w:rPr>
                <w:rFonts w:ascii="Arial" w:hAnsi="Arial" w:cs="Arial"/>
                <w:b/>
                <w:bCs/>
                <w:color w:val="0079C2"/>
                <w:sz w:val="20"/>
                <w:szCs w:val="20"/>
              </w:rPr>
              <w:t>Password:</w:t>
            </w:r>
            <w:r w:rsidRPr="00916620">
              <w:rPr>
                <w:rFonts w:ascii="Arial" w:hAnsi="Arial" w:cs="Arial"/>
                <w:color w:val="A6A6A6"/>
                <w:sz w:val="20"/>
                <w:szCs w:val="20"/>
              </w:rPr>
              <w:t xml:space="preserve"> </w:t>
            </w:r>
            <w:r w:rsidR="00A67D58" w:rsidRPr="00A67D58">
              <w:rPr>
                <w:rFonts w:ascii="Arial" w:hAnsi="Arial" w:cs="Arial"/>
                <w:b/>
                <w:bCs/>
                <w:color w:val="A6A6A6"/>
                <w:sz w:val="20"/>
                <w:szCs w:val="20"/>
              </w:rPr>
              <w:t>VBA</w:t>
            </w:r>
          </w:p>
          <w:p w14:paraId="1AA9FC43" w14:textId="4864B0EC" w:rsidR="00A67D58" w:rsidRPr="00A67D58" w:rsidRDefault="00A67D58" w:rsidP="00916620">
            <w:pPr>
              <w:rPr>
                <w:rFonts w:ascii="Arial" w:hAnsi="Arial" w:cs="Arial"/>
                <w:b/>
                <w:bCs/>
                <w:color w:val="A6A6A6"/>
                <w:sz w:val="20"/>
                <w:szCs w:val="20"/>
              </w:rPr>
            </w:pPr>
            <w:r w:rsidRPr="00A67D58">
              <w:rPr>
                <w:rFonts w:ascii="Arial" w:hAnsi="Arial" w:cs="Arial"/>
                <w:b/>
                <w:bCs/>
                <w:color w:val="A6A6A6"/>
                <w:sz w:val="20"/>
                <w:szCs w:val="20"/>
              </w:rPr>
              <w:t>(800) 346-5484</w:t>
            </w:r>
          </w:p>
        </w:tc>
        <w:tc>
          <w:tcPr>
            <w:tcW w:w="7195" w:type="dxa"/>
            <w:vAlign w:val="bottom"/>
          </w:tcPr>
          <w:p w14:paraId="063F5582" w14:textId="4B04D1AD" w:rsidR="00A045A5" w:rsidRPr="00916620" w:rsidRDefault="00A045A5" w:rsidP="00916620">
            <w:pPr>
              <w:jc w:val="right"/>
              <w:rPr>
                <w:rFonts w:ascii="Arial" w:hAnsi="Arial" w:cs="Arial"/>
                <w:color w:val="A6A6A6"/>
                <w:sz w:val="20"/>
                <w:szCs w:val="20"/>
              </w:rPr>
            </w:pPr>
          </w:p>
        </w:tc>
      </w:tr>
    </w:tbl>
    <w:p w14:paraId="38393270" w14:textId="77777777" w:rsidR="00F463D9" w:rsidRPr="00F463D9" w:rsidRDefault="00F463D9" w:rsidP="00F463D9">
      <w:pPr>
        <w:rPr>
          <w:sz w:val="20"/>
          <w:szCs w:val="20"/>
        </w:rPr>
      </w:pPr>
    </w:p>
    <w:sectPr w:rsidR="00F463D9" w:rsidRPr="00F463D9" w:rsidSect="00F463D9">
      <w:headerReference w:type="default" r:id="rId6"/>
      <w:footerReference w:type="default" r:id="rId7"/>
      <w:pgSz w:w="15840" w:h="12240" w:orient="landscape"/>
      <w:pgMar w:top="90" w:right="720" w:bottom="270" w:left="720" w:header="720" w:footer="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F918" w14:textId="77777777" w:rsidR="0084273C" w:rsidRDefault="0084273C" w:rsidP="00A045A5">
      <w:r>
        <w:separator/>
      </w:r>
    </w:p>
  </w:endnote>
  <w:endnote w:type="continuationSeparator" w:id="0">
    <w:p w14:paraId="749C3B2C" w14:textId="77777777" w:rsidR="0084273C" w:rsidRDefault="0084273C" w:rsidP="00A0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5DE1" w14:textId="410A32BD" w:rsidR="00F463D9" w:rsidRPr="00A045A5" w:rsidRDefault="00F463D9" w:rsidP="00F463D9">
    <w:pPr>
      <w:pStyle w:val="Footer"/>
      <w:rPr>
        <w:rFonts w:ascii="Arial" w:hAnsi="Arial" w:cs="Arial"/>
        <w:color w:val="A6A6A6"/>
        <w:sz w:val="12"/>
        <w:szCs w:val="12"/>
      </w:rPr>
    </w:pPr>
    <w:proofErr w:type="spellStart"/>
    <w:r w:rsidRPr="00A045A5">
      <w:rPr>
        <w:rFonts w:ascii="Arial" w:hAnsi="Arial" w:cs="Arial"/>
        <w:color w:val="A6A6A6"/>
        <w:sz w:val="12"/>
        <w:szCs w:val="12"/>
      </w:rPr>
      <w:t>LiveHealth</w:t>
    </w:r>
    <w:proofErr w:type="spellEnd"/>
    <w:r w:rsidRPr="00A045A5">
      <w:rPr>
        <w:rFonts w:ascii="Arial" w:hAnsi="Arial" w:cs="Arial"/>
        <w:color w:val="A6A6A6"/>
        <w:sz w:val="12"/>
        <w:szCs w:val="12"/>
      </w:rPr>
      <w:t xml:space="preserve"> Online is the trade name of Health Management Corporation, a separate company, providing telehealth services on behalf of Anthem Blue Cross and Blue Shield.</w:t>
    </w:r>
    <w:r>
      <w:rPr>
        <w:rFonts w:ascii="Arial" w:hAnsi="Arial" w:cs="Arial"/>
        <w:color w:val="A6A6A6"/>
        <w:sz w:val="12"/>
        <w:szCs w:val="12"/>
      </w:rPr>
      <w:br/>
    </w:r>
  </w:p>
  <w:p w14:paraId="51B23D6E" w14:textId="77777777" w:rsidR="00F463D9" w:rsidRPr="00A045A5" w:rsidRDefault="00F463D9" w:rsidP="00F463D9">
    <w:pPr>
      <w:pStyle w:val="Footer"/>
      <w:rPr>
        <w:rFonts w:ascii="Arial" w:hAnsi="Arial" w:cs="Arial"/>
        <w:color w:val="A6A6A6"/>
        <w:sz w:val="12"/>
        <w:szCs w:val="12"/>
      </w:rPr>
    </w:pPr>
    <w:r w:rsidRPr="00A045A5">
      <w:rPr>
        <w:rFonts w:ascii="Arial" w:hAnsi="Arial" w:cs="Arial"/>
        <w:color w:val="A6A6A6"/>
        <w:sz w:val="12"/>
        <w:szCs w:val="12"/>
      </w:rPr>
      <w:t xml:space="preserve">Anthem Blue Cross and Blue Shield is the trade name of: In Colorado: Rocky Mountain Hospital and Medical Service, Inc. HMO products underwritten by HMO Colorado, Inc. In Connecticut: Anthem Health Plans, Inc. In Georgia: Blue Cross Blue Shield Healthcare Plan of Georgia, Inc. In Indiana: Anthem Insurance Companies, Inc. In Kentucky: Anthem Health Plans of Kentucky, Inc. In Maine: Anthem Health Plans of Maine, Inc. In Missouri (excluding 30 counties in the Kansas City area): </w:t>
    </w:r>
    <w:proofErr w:type="spellStart"/>
    <w:r w:rsidRPr="00A045A5">
      <w:rPr>
        <w:rFonts w:ascii="Arial" w:hAnsi="Arial" w:cs="Arial"/>
        <w:color w:val="A6A6A6"/>
        <w:sz w:val="12"/>
        <w:szCs w:val="12"/>
      </w:rPr>
      <w:t>RightCHOICE</w:t>
    </w:r>
    <w:proofErr w:type="spellEnd"/>
    <w:r w:rsidRPr="00A045A5">
      <w:rPr>
        <w:rFonts w:ascii="Arial" w:hAnsi="Arial" w:cs="Arial"/>
        <w:color w:val="A6A6A6"/>
        <w:sz w:val="12"/>
        <w:szCs w:val="12"/>
      </w:rPr>
      <w:t xml:space="preserve">® Managed Care, Inc. (RIT), Healthy Alliance® Life Insurance Company (HALIC), and HMO Missouri, Inc. RIT and certain affiliates administer non-HMO benefits underwritten by HALIC and HMO benefits underwritten by HMO Missouri, Inc. RIT and certain affiliates only provide administrative services for self-funded plans and do not underwrite benefits. In Nevada: Rocky Mountain Hospital and Medical Service, Inc. HMO products underwritten by HMO Colorado, Inc., dba HMO Nevada. In New Hampshire: Anthem Health Plans of New Hampshire, Inc. HMO plans are administered by Anthem Health Plans of New Hampshire, Inc. and underwritten by Matthew Thornton Health Plan, Inc. In Ohio: Community Insurance Company. In Virginia: Anthem Health Plans of Virginia, Inc. trades as Anthem Blue Cross and Blue Shield in Virginia, and its service area is all of Virginia except for the City of Fairfax, the Town of Vienna, and the area east of State Route 123. In Wisconsin: Blue Cross Blue Shield of Wisconsin (BCBSWI), underwrites or administers PPO and indemnity policies and underwrites the out of network benefits in POS policies offered by </w:t>
    </w:r>
    <w:proofErr w:type="spellStart"/>
    <w:r w:rsidRPr="00A045A5">
      <w:rPr>
        <w:rFonts w:ascii="Arial" w:hAnsi="Arial" w:cs="Arial"/>
        <w:color w:val="A6A6A6"/>
        <w:sz w:val="12"/>
        <w:szCs w:val="12"/>
      </w:rPr>
      <w:t>Compcare</w:t>
    </w:r>
    <w:proofErr w:type="spellEnd"/>
    <w:r w:rsidRPr="00A045A5">
      <w:rPr>
        <w:rFonts w:ascii="Arial" w:hAnsi="Arial" w:cs="Arial"/>
        <w:color w:val="A6A6A6"/>
        <w:sz w:val="12"/>
        <w:szCs w:val="12"/>
      </w:rPr>
      <w:t xml:space="preserve"> Health Services Insurance Corporation (</w:t>
    </w:r>
    <w:proofErr w:type="spellStart"/>
    <w:r w:rsidRPr="00A045A5">
      <w:rPr>
        <w:rFonts w:ascii="Arial" w:hAnsi="Arial" w:cs="Arial"/>
        <w:color w:val="A6A6A6"/>
        <w:sz w:val="12"/>
        <w:szCs w:val="12"/>
      </w:rPr>
      <w:t>Compcare</w:t>
    </w:r>
    <w:proofErr w:type="spellEnd"/>
    <w:r w:rsidRPr="00A045A5">
      <w:rPr>
        <w:rFonts w:ascii="Arial" w:hAnsi="Arial" w:cs="Arial"/>
        <w:color w:val="A6A6A6"/>
        <w:sz w:val="12"/>
        <w:szCs w:val="12"/>
      </w:rPr>
      <w:t xml:space="preserve">) or Wisconsin Collaborative Insurance Corporation (WCIC). </w:t>
    </w:r>
    <w:proofErr w:type="spellStart"/>
    <w:r w:rsidRPr="00A045A5">
      <w:rPr>
        <w:rFonts w:ascii="Arial" w:hAnsi="Arial" w:cs="Arial"/>
        <w:color w:val="A6A6A6"/>
        <w:sz w:val="12"/>
        <w:szCs w:val="12"/>
      </w:rPr>
      <w:t>Compcare</w:t>
    </w:r>
    <w:proofErr w:type="spellEnd"/>
    <w:r w:rsidRPr="00A045A5">
      <w:rPr>
        <w:rFonts w:ascii="Arial" w:hAnsi="Arial" w:cs="Arial"/>
        <w:color w:val="A6A6A6"/>
        <w:sz w:val="12"/>
        <w:szCs w:val="12"/>
      </w:rPr>
      <w:t xml:space="preserve"> underwrites or administers HMO or POS policies; WCIC underwrites or administers Well Priority HMO or POS policies. Independent licensees of the Blue Cross and Blue Shield Association. Anthem is a registered trademark of Anthem Insurance Companies, Inc.</w:t>
    </w:r>
  </w:p>
  <w:p w14:paraId="4917DBE7" w14:textId="45434711" w:rsidR="00A045A5" w:rsidRPr="00F463D9" w:rsidRDefault="00A045A5" w:rsidP="00F4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FE47" w14:textId="77777777" w:rsidR="0084273C" w:rsidRDefault="0084273C" w:rsidP="00A045A5">
      <w:r>
        <w:separator/>
      </w:r>
    </w:p>
  </w:footnote>
  <w:footnote w:type="continuationSeparator" w:id="0">
    <w:p w14:paraId="283B247A" w14:textId="77777777" w:rsidR="0084273C" w:rsidRDefault="0084273C" w:rsidP="00A0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D4D2" w14:textId="55C7EA24" w:rsidR="00A045A5" w:rsidRPr="00F463D9" w:rsidRDefault="00F463D9" w:rsidP="00F463D9">
    <w:pPr>
      <w:pStyle w:val="Header"/>
      <w:jc w:val="right"/>
      <w:rPr>
        <w:rFonts w:ascii="Arial" w:hAnsi="Arial" w:cs="Arial"/>
        <w:b/>
        <w:bCs/>
        <w:color w:val="0079C2"/>
        <w:sz w:val="36"/>
        <w:szCs w:val="36"/>
      </w:rPr>
    </w:pPr>
    <w:r w:rsidRPr="00F463D9">
      <w:rPr>
        <w:rFonts w:ascii="Arial" w:hAnsi="Arial" w:cs="Arial"/>
        <w:b/>
        <w:bCs/>
        <w:noProof/>
        <w:color w:val="0079C2"/>
        <w:sz w:val="36"/>
        <w:szCs w:val="36"/>
      </w:rPr>
      <w:drawing>
        <wp:anchor distT="0" distB="0" distL="114300" distR="114300" simplePos="0" relativeHeight="251661312" behindDoc="0" locked="0" layoutInCell="1" allowOverlap="1" wp14:anchorId="6802F6F5" wp14:editId="458FCF0E">
          <wp:simplePos x="0" y="0"/>
          <wp:positionH relativeFrom="column">
            <wp:posOffset>0</wp:posOffset>
          </wp:positionH>
          <wp:positionV relativeFrom="paragraph">
            <wp:posOffset>-18415</wp:posOffset>
          </wp:positionV>
          <wp:extent cx="1800860" cy="283210"/>
          <wp:effectExtent l="0" t="0" r="8890" b="25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5A5" w:rsidRPr="00F463D9">
      <w:rPr>
        <w:rFonts w:ascii="Arial" w:hAnsi="Arial" w:cs="Arial"/>
        <w:b/>
        <w:bCs/>
        <w:noProof/>
        <w:color w:val="0079C2"/>
        <w:sz w:val="36"/>
        <w:szCs w:val="36"/>
      </w:rPr>
      <mc:AlternateContent>
        <mc:Choice Requires="wps">
          <w:drawing>
            <wp:anchor distT="0" distB="0" distL="114300" distR="114300" simplePos="0" relativeHeight="251660288" behindDoc="1" locked="0" layoutInCell="1" allowOverlap="1" wp14:anchorId="3720733D" wp14:editId="17550484">
              <wp:simplePos x="0" y="0"/>
              <wp:positionH relativeFrom="margin">
                <wp:posOffset>-465455</wp:posOffset>
              </wp:positionH>
              <wp:positionV relativeFrom="paragraph">
                <wp:posOffset>-448945</wp:posOffset>
              </wp:positionV>
              <wp:extent cx="100584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10058400" cy="1143000"/>
                      </a:xfrm>
                      <a:prstGeom prst="rect">
                        <a:avLst/>
                      </a:prstGeom>
                      <a:solidFill>
                        <a:srgbClr val="69B3E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1BD9" id="Rectangle 1" o:spid="_x0000_s1026" style="position:absolute;margin-left:-36.65pt;margin-top:-35.35pt;width:11in;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" fillcolor="#69b3e7" stroked="f" strokeweight="1pt">
              <v:fill opacity="13107f"/>
              <w10:wrap anchorx="margin"/>
            </v:rect>
          </w:pict>
        </mc:Fallback>
      </mc:AlternateContent>
    </w:r>
    <w:r w:rsidR="00916620" w:rsidRPr="00F463D9">
      <w:rPr>
        <w:rFonts w:ascii="Arial" w:hAnsi="Arial" w:cs="Arial"/>
        <w:b/>
        <w:bCs/>
        <w:color w:val="0079C2"/>
        <w:sz w:val="36"/>
        <w:szCs w:val="36"/>
      </w:rPr>
      <w:t xml:space="preserve">2023 </w:t>
    </w:r>
    <w:r w:rsidRPr="00F463D9">
      <w:rPr>
        <w:rFonts w:ascii="Arial" w:hAnsi="Arial" w:cs="Arial"/>
        <w:b/>
        <w:bCs/>
        <w:color w:val="0079C2"/>
        <w:sz w:val="36"/>
        <w:szCs w:val="36"/>
      </w:rPr>
      <w:t>Employee Assistance Program</w:t>
    </w:r>
    <w:r w:rsidRPr="00F463D9">
      <w:rPr>
        <w:rFonts w:ascii="Arial" w:hAnsi="Arial" w:cs="Arial"/>
        <w:b/>
        <w:bCs/>
        <w:color w:val="0079C2"/>
        <w:sz w:val="36"/>
        <w:szCs w:val="36"/>
      </w:rPr>
      <w:br/>
      <w:t>On-Demand Webinar Calendar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A5"/>
    <w:rsid w:val="0020148B"/>
    <w:rsid w:val="002D1859"/>
    <w:rsid w:val="004E4552"/>
    <w:rsid w:val="00582EC6"/>
    <w:rsid w:val="0084273C"/>
    <w:rsid w:val="00916620"/>
    <w:rsid w:val="009F0293"/>
    <w:rsid w:val="00A045A5"/>
    <w:rsid w:val="00A67D58"/>
    <w:rsid w:val="00AC49FA"/>
    <w:rsid w:val="00AC5605"/>
    <w:rsid w:val="00DC3130"/>
    <w:rsid w:val="00E672D9"/>
    <w:rsid w:val="00E91EEB"/>
    <w:rsid w:val="00F4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B0494"/>
  <w15:chartTrackingRefBased/>
  <w15:docId w15:val="{8A793CE4-732B-45A0-A16C-68A5CE63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5A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5A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5A5"/>
  </w:style>
  <w:style w:type="paragraph" w:styleId="Footer">
    <w:name w:val="footer"/>
    <w:basedOn w:val="Normal"/>
    <w:link w:val="FooterChar"/>
    <w:uiPriority w:val="99"/>
    <w:unhideWhenUsed/>
    <w:rsid w:val="00A045A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5A5"/>
  </w:style>
  <w:style w:type="table" w:styleId="TableGrid">
    <w:name w:val="Table Grid"/>
    <w:basedOn w:val="TableNormal"/>
    <w:uiPriority w:val="39"/>
    <w:rsid w:val="00A045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Yeagy, Becca</dc:creator>
  <cp:keywords/>
  <dc:description/>
  <cp:lastModifiedBy>Rutledge, Elizabeth K.</cp:lastModifiedBy>
  <cp:revision>2</cp:revision>
  <dcterms:created xsi:type="dcterms:W3CDTF">2023-01-03T15:10:00Z</dcterms:created>
  <dcterms:modified xsi:type="dcterms:W3CDTF">2023-01-03T15:10:00Z</dcterms:modified>
</cp:coreProperties>
</file>